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об исполнении регионального проекта «Формирование отрицательного отношения к коррупции» Агентством инвестиционного развития Республики Татарстан за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 2024 года</w:t>
      </w:r>
    </w:p>
    <w:p>
      <w:pPr>
        <w:spacing w:after="0" w:line="240" w:lineRule="auto"/>
        <w:jc w:val="center"/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5557"/>
        <w:gridCol w:w="3118"/>
        <w:gridCol w:w="6626"/>
      </w:tblGrid>
      <w:tr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3" w:type="dxa"/>
        <w:tblLayout w:type="fixed"/>
        <w:tblLook w:val="0000" w:firstRow="0" w:lastRow="0" w:firstColumn="0" w:lastColumn="0" w:noHBand="0" w:noVBand="0"/>
      </w:tblPr>
      <w:tblGrid>
        <w:gridCol w:w="647"/>
        <w:gridCol w:w="5557"/>
        <w:gridCol w:w="3118"/>
        <w:gridCol w:w="6621"/>
      </w:tblGrid>
      <w:tr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3"/>
        </w:trPr>
        <w:tc>
          <w:tcPr>
            <w:tcW w:w="1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групп,  опубликование результатов указанных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Агентством проводится опрос общественного мнения о состоянии коррупции, целью которого является выявление отношения граждан к коррупции, установление причин и условий ее возникновения. Опрос и результаты отраслевого исследования за 2023 год размещены в подразделе «Опрос общественного мнения, анкетирование» на сайте Агентства. </w:t>
            </w:r>
            <w:r>
              <w:rPr>
                <w:rFonts w:ascii="Times New Roman" w:hAnsi="Times New Roman"/>
                <w:sz w:val="24"/>
              </w:rPr>
              <w:t>Результаты отраслевого исследования в 2024 году будут размещены в четвертом квартале 2024 года, после завершения опроса.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проектов,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7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законодательных и иных нормативных правовых актов, подвергнутых антикоррупционной экспертизе на стадии разработки их проектов – 100%.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разработаны и размещены на сайте Агентства и официальном портале Республики Татарстан (https://tatarstan.ru/regulation) в целях проведения независимой антикоррупционной экспертизы: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проект постановления Кабинета министров Республики Татарстан: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изменения в постановления Кабинета Министров Республики Татарстан от 23.08.2021 № 768 «Об утверждении Порядка предоставления субсидии из бюджета Республики Татарстан на возмещение затрат юридических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лиц, связанных с организацией и проведением конгрессно-выставочных мероприятий, организационно-техническим обеспечением конкурсов» и от 21.07.2021 № 637 «Об утверждении Порядка предоставления субсидии из бюджета Республики Татарстан на возмещение затрат организаций, связанных с реализацией имиджевой кампании «Invest in Tatarstan».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проекта Указа Раиса Республики Татарстан: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международной премии «Halal Business Woman» и «Halal Charity Woman» имени Хадиджи Бинт Хувайлид»;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образовании Республиканского организационного комитета по подготовке и проведению ежегодного Международного форума «РОСТКИ: Россия и Китай – взаимовыгодное сотрудничество» в городе Казани»;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внесении изменений в Указ Президента Республики Татарстан от 14 декабря 2013 года № УП-1215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внедрении регионального инвестиционного стандарта в Республики Татарстан, утверждении положения о кураторе инвестиционного проекта, реализуемого на территории Республики Татарстан и о внесении изменений в Указ Президента Республики Татарстан от 5 июля 2012 года № УП-538 «Об образовании Инвестиционного совета Республики Татарстан».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tabs>
                <w:tab w:val="left" w:pos="444"/>
              </w:tabs>
              <w:spacing w:after="0" w:line="240" w:lineRule="auto"/>
              <w:ind w:left="32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предоставления информации об исполнении комплекса процессных мероприятий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«Совершенствование антикоррупционной политики Республики Татарстан»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5131"/>
        <w:gridCol w:w="3544"/>
        <w:gridCol w:w="6626"/>
      </w:tblGrid>
      <w:tr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5557"/>
        <w:gridCol w:w="3118"/>
        <w:gridCol w:w="6626"/>
      </w:tblGrid>
      <w:tr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разработаны и приняты: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23.01.2024 № 3 «О программе Агентства инвестиционного развития Республики Татарстан по реализации антикоррупционной политики».</w:t>
            </w:r>
          </w:p>
        </w:tc>
      </w:tr>
      <w:tr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8" w:anchor="/document/196300/entry/0" w:history="1">
              <w:r>
                <w:rPr>
                  <w:rStyle w:val="af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9" w:anchor="/document/8166002/entry/0" w:history="1">
              <w:r>
                <w:rPr>
                  <w:rStyle w:val="af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от 07.12.2023 № 40 «О назначении ответственного лица по предупреждению коррупционных правонарушений, за работу комиссии при Руководителе Агентства инвестиционного развития Республики Татарстан по противодействию коррупции, за работу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 (далее – должностное лицо, Агентство) назначен Узбеков Ш.М., ведущий советник отдела правового и кадрового обеспечения Агентства.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27.12.2023 утвержден План работы должностного лица по профилактике коррупционных и иных правонарушений в Агентстве на 2024 год. В Агентстве созданы условия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лица, ответственного за работу по профилактике коррупционных и иных правонарушений. Должностной регламент лица, ответственного за работу по профилактике коррупционных и иных правонарушений, приведен в соответствие с законодательством и размещен на сайте Агентства в разделе «Противодействие коррупции».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марта 2024 года для сотрудников Агентства был организован семинар-обучение по порядку заполнения и представления государственными гражданскими служащими сведений о доходах, расходах, об имуществе и обязательствах имущественного характера в 2024 году (за 2023 год), в том числе с использованием программы «Справки БК».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приказом Агентства от 23.12.2022 № 73 в Агентстве определено 22 должности государственной службы, замещение которых связано с коррупционными рисками.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коррупционных рисков, возникающих при реализации полномочий Агентства, проводится ежегодно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на заседании комиссии по противодействию коррупции.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отчетный период проведен анализ личных дел всех 22 гражданских служащих Агентства.</w:t>
            </w:r>
            <w:r>
              <w:rPr>
                <w:rFonts w:ascii="Times New Roman" w:hAnsi="Times New Roman"/>
                <w:color w:val="2F5496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Конфликт интересов отсутствует. Случаев несоблюдения запретов и ограничений, а также неисполнения обязанностей, установленных в целях противодействия коррупции, не установлено.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периоде лицом, ответственным за профилактику коррупционных и иных правонарушений, проведен анализ соблюдения государственными служащими Агентства требований к служебному поведению, ограничений и запретов, предусмотренных законодательством о государственной службе, оснований для проведения проверки соблюдения государственными гражданскими служащими Агентства требований к служебному поведению не выявлено.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информации по участию государственных гражданских служащих в управлении коммерческими и некоммерческими организациями осуществляется посредством доступа к открытым базам данных ЕГРЮЛ и ЕГРИП Управления ФНС по РТ. В отчетном периоде нарушений не выявлено.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предусмотренные положениями </w:t>
            </w:r>
            <w:hyperlink r:id="rId10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конфликта интересов с организациями, подведомственными органами публичной власти в Республике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0"/>
              <w:widowControl w:val="0"/>
              <w:spacing w:after="0" w:line="240" w:lineRule="auto"/>
            </w:pPr>
            <w:bookmarkStart w:id="0" w:name="p_399023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>
            <w:pPr>
              <w:pStyle w:val="a0"/>
              <w:widowControl w:val="0"/>
              <w:spacing w:after="0"/>
            </w:pPr>
            <w:bookmarkStart w:id="1" w:name="p_399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работы Комиссии при председателе по противодействию коррупции на 2024 год утвержден 27.12.2023 и размещен на официальном сайте Агентства в разделе «Противодействие коррупции». В отчетный период проведено: 1 заседание Комиссии.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a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Должностным лицом, ответственным за проведение антикоррупционной экспертизы, является ведущий советник отдела правового и кадрового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периоде проведена независимая антикоррупционная экспертиза 5 проектов нормативных правовых актов.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обеспечения возможности проведения независимой антикоррупционной экспертизы проекты нормативных правовых актов, разработанных Агентством, размещаются на официальном сайте Агентства в разделе «Противодействие коррупции» в подразделе «Независимая антикоррупционная экспертиза». За отчетный период заключений от независимых экспертов не поступало.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tabs>
                <w:tab w:val="left" w:pos="286"/>
                <w:tab w:val="left" w:pos="48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a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государственные гражданские служащие Агентства своевременно ознакомляются с актуальными изменениями законодательства о противодействии коррупции. По состоянию на отчетную дату разъяснения по антикоррупционной тематике и индивидуальные беседы проведены со всеми 22 гражданскими служащими в Агентстве.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 проводятся заседания Комиссии при председателе Агентства по противодействию коррупции, на которых рассматриваются отчеты о реализации ведомственной антикоррупционной программы Агентства и иные актуальные вопросы.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совет при Агентстве состоит из 17 человек. Представители Общественного совета принимают активное участие в работе Агентства, участвуют в заседаниях коллегий, являются членами комиссии по оценке профессионального уровня кандидатов на замещение вакантных должностей государственной гражданской службы, аттестационной комиссии, комиссии по урегулированию конфликта интересов и комиссии по противодействию коррупции в Агентстве</w:t>
            </w:r>
            <w:r>
              <w:rPr>
                <w:rFonts w:ascii="Times New Roman" w:hAnsi="Times New Roman"/>
                <w:sz w:val="24"/>
              </w:rPr>
              <w:t>. В отчетный период проведено 1 совместное, расширенное заседание.</w:t>
            </w:r>
            <w:r>
              <w:rPr>
                <w:rFonts w:ascii="Times New Roman" w:eastAsia="Times New Roman" w:hAnsi="Times New Roman"/>
                <w:color w:val="2F5496"/>
                <w:sz w:val="28"/>
                <w:szCs w:val="24"/>
                <w:lang w:eastAsia="ru-RU"/>
              </w:rPr>
              <w:t xml:space="preserve">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 проводятся совместные, расширенные заседания Комиссии при председателе Агентства по противодействию коррупции и Общественного совета при Агентстве, на которых рассматриваются отчеты о реализации ведомственной антикоррупционной программы Агентства и иные актуальные вопросы.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состоянию на отчетную дату разъяснения по антикоррупционной тематике и индивидуальные беседы проведены со всеми 22 гражданскими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>
        <w:trPr>
          <w:trHeight w:val="594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Агентства в подразделе «Обратная связь для сообщений о фактах коррупции» для граждан размещены: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«Телефон доверия» для сообщений о проявлениях коррупции в Агентстве;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обновленный «</w:t>
            </w:r>
            <w:hyperlink r:id="rId11" w:history="1">
              <w:r>
                <w:rPr>
                  <w:rFonts w:ascii="Times New Roman" w:hAnsi="Times New Roman"/>
                  <w:sz w:val="24"/>
                  <w:szCs w:val="24"/>
                </w:rPr>
                <w:t>Опрос общественного мнения, анкетирование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», позволяющие гражданам и организациям сообщать о фактах коррупции в Агентстве, причинах и условиях, способствующих их совершению;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рассмотрения сообщений и обращений граждан, поступивших на «телефон доверия» и в интернет-приемную о проявлениях коррупции в Агентстве.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Функционирует раздел «Интернет-приемная», где граждане могут оставлять электронные сообщения.</w:t>
            </w:r>
            <w:r>
              <w:rPr>
                <w:rFonts w:ascii="Times New Roman" w:hAnsi="Times New Roman"/>
                <w:color w:val="2F5496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начала 2024 года обращения от граждан и организаций о фактах проявления коррупции среди служащих Агентства в Агентство, а также представителям Общественного совета при Агентстве не поступали.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итогам отчетного периода, при анализе обращений граждан и организаций, а также публикаций СМИ факта коррупционных нарушений со стороны государственных гражданских служащих Агентства не выявлено.</w:t>
            </w:r>
            <w:r>
              <w:rPr>
                <w:rFonts w:ascii="Times New Roman" w:hAnsi="Times New Roman"/>
                <w:color w:val="2F5496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spacing w:after="0" w:line="240" w:lineRule="auto"/>
              <w:jc w:val="both"/>
              <w:rPr>
                <w:color w:val="2F5496"/>
                <w:sz w:val="26"/>
                <w:szCs w:val="26"/>
                <w:lang w:eastAsia="en-US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6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фойе 1 этажа здания Агентства размещен информационный стенд «Противодействие коррупции», на котором размещена антикоррупционная программа, информационные материалы о противодействии коррупции. Стенд «Противодействие коррупции» обновляется по мере внесения изменений в антикоррупционное законодательство.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36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проведенные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закупок проводится в строгом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 Информация о проведении закупок является прозрачной, общедоступной и размещается в Единой информационной системе в сфере закупок.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создания конкурентных условий, открытости закупок, а также в соответствии с законодательством все заказчики обязаны опубликовать план-графики размещения заказа в Единой информационной системе в сфере закупок. Кроме того, в целях усиления общественного контроля в сфере закупок план-график продублирован на официальном сайте Агентства в разделе «Участие в государственном заказе».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highlight w:val="lightGra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2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3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6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Подведомственные организации, учредителем которых является Агентство, отсутствуют.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6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Закупки товаров, работ, услуг для нужд Агентства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Обоснование начальной максимальной цены контракта проводится методом сопоставимых рыночных цен.  Запросы на коммерческие   предложения направляются на электронную почту поставщиков.  Изучение цен  происходит  с  помощью интернет ресурса.</w:t>
            </w:r>
          </w:p>
        </w:tc>
      </w:tr>
      <w:tr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Агентстве осуществляется работа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отчетного периода, при анализе обращений граждан и организаций, а также публикаций СМИ факта коррупционных нарушений со стороны государственных гражданских служащих Агентства не выявлено.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отчетном периоде случаев несоблюдения запретов, ограничений и требований, установленных в целях противодействия коррупции, не установлено.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4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6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недопущения нарушения действующего законодательства Агентством доводятся до сведения сотрудников все нормативно-правовые акты и информационные материалы о недопустимости поведения, которые могут восприниматься окружающими как дача или получение взятки.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возникновения конфликта интересов на государственной службе за отчетный период не выявлены.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индикаторов по мероприятию – 100%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>
      <w:headerReference w:type="default" r:id="rId15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d"/>
      <w:tabs>
        <w:tab w:val="left" w:pos="8400"/>
      </w:tabs>
    </w:pPr>
    <w:r>
      <w:rPr>
        <w:noProof/>
      </w:rPr>
      <w:pict>
        <v:rect id="Врезка1" o:spid="_x0000_s2049" style="position:absolute;margin-left:0;margin-top:.05pt;width:11.85pt;height:13.6pt;z-index:-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" o:allowincell="f" filled="f" stroked="f" strokeweight="0">
          <v:textbox inset=".07mm,.07mm,.07mm,.07mm">
            <w:txbxContent>
              <w:p>
                <w:pPr>
                  <w:pStyle w:val="afd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11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F8E"/>
    <w:multiLevelType w:val="hybridMultilevel"/>
    <w:tmpl w:val="2DA44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2966"/>
    <w:multiLevelType w:val="multilevel"/>
    <w:tmpl w:val="BD063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776F9C"/>
    <w:multiLevelType w:val="hybridMultilevel"/>
    <w:tmpl w:val="BEC2A0B4"/>
    <w:lvl w:ilvl="0" w:tplc="3F0E5F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C3A67"/>
    <w:multiLevelType w:val="hybridMultilevel"/>
    <w:tmpl w:val="83142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E71AA"/>
    <w:multiLevelType w:val="hybridMultilevel"/>
    <w:tmpl w:val="B3AC7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F3200"/>
    <w:multiLevelType w:val="multilevel"/>
    <w:tmpl w:val="AA5AB4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113981"/>
    <w:multiLevelType w:val="hybridMultilevel"/>
    <w:tmpl w:val="83142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019FA9-C011-4366-9652-D686303A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uiPriority w:val="99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1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uiPriority w:val="99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af0">
    <w:name w:val="Гипертекстовая ссылка"/>
    <w:uiPriority w:val="99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styleId="af5">
    <w:name w:val="Title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link w:val="af6"/>
    <w:uiPriority w:val="99"/>
    <w:pPr>
      <w:spacing w:after="140"/>
    </w:pPr>
  </w:style>
  <w:style w:type="paragraph" w:styleId="af7">
    <w:name w:val="List"/>
    <w:basedOn w:val="a0"/>
    <w:rPr>
      <w:rFonts w:ascii="PT Astra Serif" w:hAnsi="PT Astra Serif"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afa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customStyle="1" w:styleId="afb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a"/>
    <w:pPr>
      <w:spacing w:after="0" w:line="240" w:lineRule="auto"/>
    </w:pPr>
  </w:style>
  <w:style w:type="paragraph" w:styleId="afe">
    <w:name w:val="footer"/>
    <w:basedOn w:val="a"/>
    <w:pPr>
      <w:spacing w:after="0" w:line="240" w:lineRule="auto"/>
    </w:pPr>
  </w:style>
  <w:style w:type="paragraph" w:styleId="af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aff0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1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2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3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4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5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6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7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9">
    <w:name w:val="Содержимое таблицы"/>
    <w:basedOn w:val="a"/>
    <w:qFormat/>
    <w:pPr>
      <w:widowControl w:val="0"/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"/>
    <w:qFormat/>
  </w:style>
  <w:style w:type="numbering" w:customStyle="1" w:styleId="WW8Num1">
    <w:name w:val="WW8Num1"/>
    <w:qFormat/>
  </w:style>
  <w:style w:type="character" w:customStyle="1" w:styleId="af6">
    <w:name w:val="Основной текст Знак"/>
    <w:link w:val="a0"/>
    <w:uiPriority w:val="99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hl">
    <w:name w:val="hl"/>
  </w:style>
  <w:style w:type="paragraph" w:customStyle="1" w:styleId="affc">
    <w:name w:val="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Calibri Light" w:hAnsi="Calibri Light" w:cs="Calibri Light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499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1388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tarstan.ru/regulation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hiv.tatar.ru/rus/opros-obshchestvennogo-mneniya-anketirovanie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11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Узбеков Шамиль Мохаммядиевич</cp:lastModifiedBy>
  <cp:revision>174</cp:revision>
  <cp:lastPrinted>2014-07-16T15:25:00Z</cp:lastPrinted>
  <dcterms:created xsi:type="dcterms:W3CDTF">2018-09-17T11:40:00Z</dcterms:created>
  <dcterms:modified xsi:type="dcterms:W3CDTF">2024-04-03T07:51:00Z</dcterms:modified>
  <dc:language>ru-RU</dc:language>
</cp:coreProperties>
</file>