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исполнении регионального проекта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«Формирование отрицательного отношения к коррупции»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Агентством инвестиционного развития Республики Татарстан за 9 месяцев 2024 года</w:t>
      </w:r>
    </w:p>
    <w:p>
      <w:pPr>
        <w:spacing w:after="0" w:line="240" w:lineRule="auto"/>
        <w:jc w:val="center"/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4A0" w:firstRow="1" w:lastRow="0" w:firstColumn="1" w:lastColumn="0" w:noHBand="0" w:noVBand="1"/>
      </w:tblPr>
      <w:tblGrid>
        <w:gridCol w:w="647"/>
        <w:gridCol w:w="10262"/>
        <w:gridCol w:w="2341"/>
        <w:gridCol w:w="2698"/>
      </w:tblGrid>
      <w:tr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3" w:type="dxa"/>
        <w:tblLayout w:type="fixed"/>
        <w:tblLook w:val="04A0" w:firstRow="1" w:lastRow="0" w:firstColumn="1" w:lastColumn="0" w:noHBand="0" w:noVBand="1"/>
      </w:tblPr>
      <w:tblGrid>
        <w:gridCol w:w="647"/>
        <w:gridCol w:w="10262"/>
        <w:gridCol w:w="2340"/>
        <w:gridCol w:w="2694"/>
      </w:tblGrid>
      <w:tr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43"/>
        </w:trPr>
        <w:tc>
          <w:tcPr>
            <w:tcW w:w="15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Оценка состояния коррупции в Республике Татарстан</w:t>
            </w:r>
          </w:p>
          <w:p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Проведение отраслевых исследований коррупционных факторов и реализуемых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Ежегодно проводится опрос общественного  мнения  о состоянии  коррупции,  целью  которого  является  выявление отношения граждан к коррупции, установлению причин  и  условий  ее  возникновения.  Опрос  размещен  в  подразделе  «Опрос общественного  мнения  по противодействию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корруп-ции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 на сайте Агентства.</w:t>
            </w:r>
          </w:p>
        </w:tc>
      </w:tr>
      <w:tr>
        <w:tc>
          <w:tcPr>
            <w:tcW w:w="15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Размещение проектов разработанных нормативных правовых актов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7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Информация о независимой антикоррупционной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экспер-тизе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нормативных правовых актов и проектов нормативных правовых актов размещается  на  официальном сайте  агентства в разделе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Противо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-действие  коррупции»  с опубликованием   данных даты  начала  экспертизы, даты окончания экспертизы и контактных данных разработчика. Доля  проектов НПА ведомства, подвергнутых    антикоррупционной экспертизе составляет 100 %  </w:t>
            </w: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исполнении комплекса процессных мероприятий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«Совершенствование антикоррупционной политики Республики Татарстан»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Агентством инвестиционного развития Республики Татарстан за </w:t>
      </w:r>
      <w:r>
        <w:rPr>
          <w:rFonts w:ascii="Times New Roman" w:hAnsi="Times New Roman"/>
          <w:b/>
          <w:sz w:val="28"/>
          <w:szCs w:val="28"/>
        </w:rPr>
        <w:t xml:space="preserve">9 месяцев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2024 года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4A0" w:firstRow="1" w:lastRow="0" w:firstColumn="1" w:lastColumn="0" w:noHBand="0" w:noVBand="1"/>
      </w:tblPr>
      <w:tblGrid>
        <w:gridCol w:w="647"/>
        <w:gridCol w:w="10262"/>
        <w:gridCol w:w="2341"/>
        <w:gridCol w:w="2698"/>
      </w:tblGrid>
      <w:tr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8" w:type="dxa"/>
        <w:tblLayout w:type="fixed"/>
        <w:tblLook w:val="04A0" w:firstRow="1" w:lastRow="0" w:firstColumn="1" w:lastColumn="0" w:noHBand="0" w:noVBand="1"/>
      </w:tblPr>
      <w:tblGrid>
        <w:gridCol w:w="647"/>
        <w:gridCol w:w="10262"/>
        <w:gridCol w:w="2341"/>
        <w:gridCol w:w="2698"/>
      </w:tblGrid>
      <w:tr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43"/>
        </w:trP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  <w:p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Агентством инвестиционного развития Республики Татарстан за истекший период в 2024 году утверждены: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 Приказ от 23.01.2024 № 3 «О программе Агентства инвестиционного развития Республики Татарстан по реализации антикоррупционной политики»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16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 Функционирование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 </w:t>
            </w:r>
            <w:hyperlink r:id="rId8" w:anchor="/document/196300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Российской Федерации № 1065 и </w:t>
            </w:r>
            <w:hyperlink r:id="rId9" w:anchor="/document/8166002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Республики Татарстан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Приказом Агентства от 07.12.2023 № 43 «О назначении ответственного лица по предупреждению коррупционных правонарушений, за работу ко-миссии при Руководителе Агентства инвестиционного развития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-лики Татарстан по противодействию коррупции, за работу комиссии по соблюдению требований к слу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жебному поведению государственных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граж-данских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служащих Республики Татарстан и урегулированию конфликта интересов Агентства инвестиционного развития Республики Татарстан, за работу Общественного совета при Агентстве инвестиционного развития Республики Татарстан» ответственным лицом за работу по профилактике коррупционных и иных правонарушений назначен ведущий советник от-дела правового и кадрового обеспечения Агентства.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отчетный период лицом, ответственным за работу по профилактике коррупционных и иных правонарушений, предоставлены разъяснения государственным гражданским служащим Агентства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коррупционноопасного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поведения.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 марта 2024 года для сотрудников Агентства был организован семинар-обучение по порядку заполнения и представления государственными гражданскими служащими сведений о доходах, расходах, об имуществе и обязательствах имущественного характера в 2024 году (за 2023 год), в том числе с использованием программы «Справки БК».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Оценка коррупционных рисков, возникающих при реализации государственными гражданскими служащими Республики Татарстан, муниципальными служащими в Республике Татарстан функций, и внесение (при необходимости) уточнений в перечни должностей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приказом Агентства от 23.12.2022 № 73 в Агентстве определено 22 должности государственной службы, замещение которых связано с коррупционными рисками.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Оценка коррупционных рисков, возникающих при реализации полномочий Агентства, проводилась в II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квартале на заседании комиссии по противодействию коррупции.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 Анализ личных дел государственных гражданских служащих Республики Татарстан, муниципальных служащих в Республике Татарстан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постоянной основе ведется  анализ  личных  дел  государственных  гражданских  служащих и актуализация сведений, содержащихся в анкетах, представляемых  при  поступлении на  такую  службу,  об  их  родственниках и  свойственниках (супругах своих братьев и сестер и о братьях и сестрах своих супругов), в целях выявления  возможного  конфликта интересов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 Проведение проверок по соблюдению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Ответственным лицом по профилактике  коррупционных  и иных  правонарушений  проведена работа по проверке вновь принимаемых государственных гражданских  служащих  на предмет участия в деятельности коммерческих  организаций  по программе ЕГРИП и ЕГРЮЛ Нарушений не выявлено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должности муниципальной службы в Республике Татарстан, в управлении коммерческими и некоммерческими организациями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Должностным лицом ежеквартально осуществляется мониторинг участия государственных гражданских  служащих  Республики Татарстан на предмет участия  в  деятельности  и управлении  коммерческими  и некоммерческими  организациями. В отчетный период нарушений не установлено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 Проведение работы в целях обеспечения соблюдения обязанности принимать меры, предусмотренные положениями </w:t>
            </w:r>
            <w:hyperlink r:id="rId10" w:anchor="/document/12164203/entry/133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статьи 13.3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25 декабря 2008 года № 273-ФЗ «О противодействии коррупции», по предупреждению коррупции, в том числе по выявлению, предотвращению и урегулированию конфликта интересов с организациями, подведомственными органам публичной власти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Организации, подведомственные Агентству, в настоящее время отсутствуют.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0"/>
              <w:widowControl w:val="0"/>
              <w:spacing w:after="0" w:line="240" w:lineRule="auto"/>
            </w:pPr>
            <w:bookmarkStart w:id="1" w:name="p_399023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</w:t>
            </w:r>
          </w:p>
          <w:p>
            <w:pPr>
              <w:pStyle w:val="a0"/>
              <w:widowControl w:val="0"/>
              <w:spacing w:after="0"/>
            </w:pPr>
            <w:bookmarkStart w:id="2" w:name="p_399024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Утвержден  план  работы   Ко-миссии по  противодействию коррупции при  руководителе Агентства инвестиционного развития Республики Татарстан. Согласно плану в текущем году проведено 3 заседания Комиссии</w:t>
            </w:r>
          </w:p>
        </w:tc>
      </w:tr>
      <w:t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2. Выявление и устранение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f9"/>
              <w:spacing w:line="228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2.1.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line="228" w:lineRule="auto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Должностным лицом, ответственным за проведение антикоррупционной экспертизы, является ведущий советник отдела правового и кадрового обеспечения Агентства.</w:t>
            </w:r>
          </w:p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отчетном периоде проведена независимая антикоррупционная экспертиза 8 проектов нормативных правовых актов. Соответствующая информация  размещается  на официальном сайте.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факторов за истекший период выявлено не было.</w:t>
            </w:r>
          </w:p>
        </w:tc>
      </w:tr>
      <w:t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3. 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f9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3.7. 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Республики Татарстан, муниципальными служащими в Республике Татарстан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отчетном периоде проводились профилактические беседы с государственными гражданскими служащими.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Сотрудникам при увольнении с государственной гражданской службы выдается памятка о запретах, установленных для гражданина после увольнения его с гражданской службы. За 2024 год данная памятка выдана 13 уволившимся сотрудникам.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целях профилактики коррупционных и иных правонарушений, формирования у работников Агентства отрицательного отношения к коррупции, в 2024 году реализовывались, в том числе, мероприятия, предусмотренные Программой Агентства по реализации антикоррупционной политики на 2015-2025 годы.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обязательном порядке проводится работа с гражданами, поступающими на государственную службу, по ознакомлению с требованиями действующего законодательства о государственной службе и противодействию коррупции.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антикоррупционной направленности до сведения сотрудников Агентства доводится посредством электронного документооборота, размещения информации на официальном сайте Агентства, информационном стенде, электронной почты.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2024 году лицом, ответственным за работу по профилактике коррупционных и иных правонарушений, предоставлялись разъяснения государственным гражданским служащим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Агентства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опасного поведения.</w:t>
            </w:r>
          </w:p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Кроме того, на регулярной основе проводятся аппаратные совещания Агентства, в повестку дня которых включается вопрос по соблюдению государственными гражданскими служащими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 Рассмотрение отчетов о реализации программ противодействия коррупции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заседаниях общественных советов органов публичной власти Республики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Рассмотрение отчетов о реализации программ противодействия коррупции на заседаниях общественных советов органов публичной власти Республики Татарстан</w:t>
            </w:r>
          </w:p>
        </w:tc>
      </w:tr>
      <w:tr>
        <w:trPr>
          <w:trHeight w:val="594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 Обеспечение функционирования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 официальном  сайте  Агентства ведется и поддерживается в актуальном состоянии раздел  «Противодействие  коррупции»  с  соответствующими подразделами, в которых отражаются  результаты  антикоррупционной деятельности Агентства  в  соответствии  с Едиными требованиями, предъявляемыми  к  официальным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сайтам  исполнительных  органов  государственной  власти Республики  Татарстан  в  ин-формационно-телекоммуникационной  сети «Интернет»  по  вопросам  противодействия коррупции, уста-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новленными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Постановлением КМ РТ от 04.04.2013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225.В  Агентстве организована работа «телефона доверия» для сообщений о проявлениях коррупции. За отчетный период сообщений о  коррупционных  правонарушениях на  «телефон доверия» не поступало. Также  функционирует  «Ящик доверия»,  который  установлен в фойе главного здания. На официальном сайте функционирует  общественная интернет-приемная,   позволяющая гражданам сообщать о ставших  известными им фактах коррупции, причинах и условиях, способствующих их совершению. За отчетный период информация не поступала.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 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 целях  организации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монито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-ринга  эффективности  деятель-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органов исполнительной власти  Республики  Татарстан информация  о  деятельности Агентства  по реализации  антикоррупционных  мер  ежеквартально  представляется: Управление  Раиса  Республики Татарстан  по  вопросам  анти-коррупционной политики.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Све-дения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 результатах деятельно-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комиссий  по  соблюдению требований  к  служебному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по-ведению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государственных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слу-жащих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Республики Татарстан и урегулированию   конфликта интересов;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-ежеквартально  в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Министер-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юстиции  Республики  Та-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тарстан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информация  о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выпол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-нении   Антикоррупционной программы.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 Оформление и актуализация специальных информационных стендов, разделов «Противодействие коррупции»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фойе 1 этажа здания Агентства размещен информационный стенд «Противодействие коррупции», на котором размещена антикоррупционная программа, информационные материалы о противодействии коррупции. Стенд «Противодействие коррупции» обновляется по мере внесения изменений в антикоррупционное законодательство.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4.6. Предоставление государственной поддержки некоммерческим организациям, осуществляющим в соответствии с учредительными документами деятельность в сфере профилактики коррупции в Республике Татарстан, на реализацию проектов в области противодействия коррупции и антикоррупционного просвещения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Общественная палата Республики Татарстан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*В информации также необходимо указать значение индикатора по мероприятию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проведенных конкурсов на получение грантов Кабинета Министров Республики Татарстан по номинации «Противодействие коррупции»)</w:t>
            </w:r>
          </w:p>
        </w:tc>
      </w:tr>
      <w:tr>
        <w:trPr>
          <w:trHeight w:val="636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5.1. Проведение проверок осуществления закупок товаров (работ, услуг) для государственных и муниципальных нужд и разработаны предложения по устранению выявленных нарушений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финансов Республики Татарстан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Управление Федеральной антимонопольной службы по Республике Татарстан (по согласованию),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куратура Республики Татарстан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проведены мероприятия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Государственные  закупки  осу-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ществляются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соответствии с Федеральным  законом  от  05 апреля 2013 года № 44-ФЗ «О контрактной  системе  в  сфере закупок  товаров,  работ,  услуг для обеспечения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государствен-ных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муниципальных нужд». План-график закупок размещается на главной странице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офи-циального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сайта  Российской Федерации  в  «Единой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инфор-мационной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системе  в  сфере закупок» в сети интернет. Информация о закупках, в том числе  и  отчет  о  результатах исполнения  контракта,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публи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-куется на официальном сайте.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 Осуществление ведомственного контроля за закупками подведомственных республиканским органам исполнительной власти организаций, проводимыми в соответствии с Федеральными законами </w:t>
            </w:r>
            <w:hyperlink r:id="rId11" w:anchor="/document/1218808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18 июля 2011 года № 223-ФЗ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закупках товаров, работ, услуг отдельными видами юридических лиц», </w:t>
            </w:r>
            <w:hyperlink r:id="rId12" w:anchor="/document/70353464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5 апреля 2013 года № 44-ФЗ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имеющие подведомственные организации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Организации, подведомственные Агентству, в настоящее время отсутствуют.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5.4. Проведение анализа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Закупки  товаров,  работ,  услуг для  нужд  Агентством осуществляется в соответствии с Федеральным законом от 05.04.2013 № 44-ФЗ «О контрактной  системе  в  сфере закупок  товаров,  работ,  услуг для обеспечения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государствен-ных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муниципальных нужд». Обоснование начальной макси-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мальной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цены  контракта  про-водится методом сопоставимых рыночных  цен.  Запросы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коммерческие   предложения направляются  на  электронную почту  поставщиков.  Изучение цен  происходит  с  помощью интернет ресурса.</w:t>
            </w:r>
          </w:p>
        </w:tc>
      </w:tr>
      <w:tr>
        <w:trPr>
          <w:trHeight w:val="407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Задача 6. Последовательное снижение административного давления на предпринимательство (бизнес-структуры)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6.7. Направление предложений в план работы советов директоров акционерных обществ с долей Республики Татарстан в уставном капитале о рассмотрении вопросов профилактики и борьбы с коррупцией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земельных и имущественных отношений Республики Татарстан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443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7. Повышение эффективности взаимодействия органов государственной власти Республики Татарстан с правоохранительными органами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7.1. Осуществление проверок соблюдения законодательства при реализации приоритетных национальных проектов и государственных программ Республики Татарстан на предмет выявления коррупционных правонарушений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0"/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финансов Республики Татарстан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Министерство внутренних дел по Республике Татарстан (по согласованию), прокуратура Республики Татарстан (по согласованию)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407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8.2. Разработка и проведение для студентов медицинских образовательных организаций, интернов комплекс мероприятий, направленных на формирование антикоррупционного поведения у будущих медработников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здравоохранения Республики Татарстан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Министерство образования и науки Республики Татарстан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8.3. Ознакомление вновь принятых работников медицинских и образовательных организаций с нормами антикоррупционного поведения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образования и науки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 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 проведении мониторинга обращений граждан в Агентство    проявления коррупции   в   социально-экономических  отраслях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жиз-недеятельности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выявлены. Результаты  опроса  обществен-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мнения о состоянии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кор-рупции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ежегодно размещаются на сайте Агентства.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8.5. Проведение мониторинга соблюдения руководителями медицинских организаций условий служебных контрактов в части запрета на учреждение ими коммерческих структур (организаций), оказывающих медицинские и иные услуги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8.6. Обеспечение информирования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 </w:t>
            </w:r>
            <w:hyperlink r:id="rId13" w:anchor="/document/12138291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Жилищного кодекса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8.8.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отчетный период случаев несоблюдения запретов, ограничений и требований, установленных в целях противодействия коррупции, не установлено. </w:t>
            </w:r>
          </w:p>
          <w:p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8.9. Осуществление контроля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 </w:t>
            </w:r>
            <w:hyperlink r:id="rId14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Случаи возникновения конфликта интересов на государственной службе за отчетный период не выявлены.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8.10. Проведение тематических совещаний (семинаров) с собственниками и иными законными владельцами объектов культурного наследия по профилактике коррупционных правонарушений в области охраны объектов культурного наследия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охране объектов культурного наследия Республики Татарстан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>
      <w:headerReference w:type="default" r:id="rId15"/>
      <w:headerReference w:type="first" r:id="rId16"/>
      <w:pgSz w:w="16838" w:h="11906" w:orient="landscape"/>
      <w:pgMar w:top="709" w:right="567" w:bottom="1134" w:left="567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f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2720"/>
              <wp:effectExtent l="0" t="0" r="0" b="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495" cy="172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afc"/>
                          </w:pPr>
                          <w:r>
                            <w:rPr>
                              <w:rStyle w:val="af1"/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f1"/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f1"/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f1"/>
                              <w:rFonts w:ascii="Times New Roman" w:hAnsi="Times New Roman"/>
                              <w:noProof/>
                              <w:color w:val="000000"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Style w:val="af1"/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2520" tIns="2520" rIns="2520" bIns="25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11.85pt;height:13.6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" o:allowincell="f" filled="f" stroked="f" strokeweight="0">
              <v:path arrowok="t"/>
              <v:textbox inset=".07mm,.07mm,.07mm,.07mm">
                <w:txbxContent>
                  <w:p>
                    <w:pPr>
                      <w:pStyle w:val="afc"/>
                    </w:pPr>
                    <w:r>
                      <w:rPr>
                        <w:rStyle w:val="af1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f1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f1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f1"/>
                        <w:rFonts w:ascii="Times New Roman" w:hAnsi="Times New Roman"/>
                        <w:noProof/>
                        <w:color w:val="000000"/>
                        <w:sz w:val="24"/>
                        <w:szCs w:val="24"/>
                      </w:rPr>
                      <w:t>13</w:t>
                    </w:r>
                    <w:r>
                      <w:rPr>
                        <w:rStyle w:val="af1"/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2495C"/>
    <w:multiLevelType w:val="multilevel"/>
    <w:tmpl w:val="0AAE0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074C6C"/>
    <w:multiLevelType w:val="multilevel"/>
    <w:tmpl w:val="1870C2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03DA91-537E-43B6-B8DF-9BC6C0DC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sz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sz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  <w:rPr>
      <w:sz w:val="24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</w:style>
  <w:style w:type="character" w:customStyle="1" w:styleId="a4">
    <w:name w:val="Цветовое выделение"/>
    <w:qFormat/>
    <w:rPr>
      <w:b/>
      <w:color w:val="000080"/>
    </w:rPr>
  </w:style>
  <w:style w:type="character" w:customStyle="1" w:styleId="a5">
    <w:name w:val="Название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</w:style>
  <w:style w:type="character" w:styleId="aa">
    <w:name w:val="Strong"/>
    <w:qFormat/>
    <w:rPr>
      <w:b/>
      <w:bCs/>
    </w:rPr>
  </w:style>
  <w:style w:type="character" w:customStyle="1" w:styleId="ab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Гипертекстовая ссылка"/>
    <w:qFormat/>
    <w:rPr>
      <w:rFonts w:cs="Times New Roman"/>
      <w:b/>
      <w:bCs/>
      <w:color w:val="008000"/>
    </w:rPr>
  </w:style>
  <w:style w:type="character" w:styleId="af1">
    <w:name w:val="page number"/>
    <w:basedOn w:val="a1"/>
  </w:style>
  <w:style w:type="character" w:styleId="af2">
    <w:name w:val="annotation reference"/>
    <w:qFormat/>
    <w:rPr>
      <w:sz w:val="16"/>
      <w:szCs w:val="16"/>
    </w:rPr>
  </w:style>
  <w:style w:type="character" w:customStyle="1" w:styleId="af3">
    <w:name w:val="Текст примечания Знак"/>
    <w:qFormat/>
    <w:rPr>
      <w:sz w:val="20"/>
      <w:szCs w:val="20"/>
    </w:rPr>
  </w:style>
  <w:style w:type="character" w:customStyle="1" w:styleId="af4">
    <w:name w:val="Тема примечания Знак"/>
    <w:qFormat/>
    <w:rPr>
      <w:b/>
      <w:bCs/>
      <w:sz w:val="20"/>
      <w:szCs w:val="20"/>
    </w:rPr>
  </w:style>
  <w:style w:type="paragraph" w:styleId="af5">
    <w:name w:val="Title"/>
    <w:basedOn w:val="a"/>
    <w:next w:val="a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pPr>
      <w:spacing w:after="140"/>
    </w:pPr>
  </w:style>
  <w:style w:type="paragraph" w:styleId="af6">
    <w:name w:val="List"/>
    <w:basedOn w:val="a0"/>
    <w:rPr>
      <w:rFonts w:ascii="PT Astra Serif" w:hAnsi="PT Astra Serif"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bCs/>
      <w:sz w:val="22"/>
      <w:szCs w:val="22"/>
      <w:lang w:eastAsia="zh-CN"/>
    </w:rPr>
  </w:style>
  <w:style w:type="paragraph" w:customStyle="1" w:styleId="af9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a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pPr>
      <w:spacing w:after="0" w:line="240" w:lineRule="auto"/>
    </w:pPr>
  </w:style>
  <w:style w:type="paragraph" w:styleId="afd">
    <w:name w:val="footer"/>
    <w:basedOn w:val="a"/>
    <w:pPr>
      <w:spacing w:after="0" w:line="240" w:lineRule="auto"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lang w:eastAsia="zh-CN"/>
    </w:rPr>
  </w:style>
  <w:style w:type="paragraph" w:customStyle="1" w:styleId="aff">
    <w:name w:val="Абзац с отсуп"/>
    <w:basedOn w:val="a"/>
    <w:qFormat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styleId="aff2">
    <w:name w:val="Body Text Indent"/>
    <w:basedOn w:val="a"/>
    <w:pPr>
      <w:spacing w:after="120"/>
      <w:ind w:left="283"/>
    </w:pPr>
  </w:style>
  <w:style w:type="paragraph" w:customStyle="1" w:styleId="NormalWeb1">
    <w:name w:val="Normal (Web)1"/>
    <w:basedOn w:val="a"/>
    <w:qFormat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f3">
    <w:name w:val="end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 Знак 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6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next w:val="aff6"/>
    <w:qFormat/>
    <w:rPr>
      <w:b/>
      <w:bCs/>
    </w:rPr>
  </w:style>
  <w:style w:type="paragraph" w:customStyle="1" w:styleId="Style6">
    <w:name w:val="Style6"/>
    <w:basedOn w:val="a"/>
    <w:qFormat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12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863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263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298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atarstan.ru/regulation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Узбеков Шамиль Мохаммядиевич</cp:lastModifiedBy>
  <cp:revision>4</cp:revision>
  <cp:lastPrinted>2014-07-16T15:25:00Z</cp:lastPrinted>
  <dcterms:created xsi:type="dcterms:W3CDTF">2024-10-25T08:52:00Z</dcterms:created>
  <dcterms:modified xsi:type="dcterms:W3CDTF">2024-10-25T09:14:00Z</dcterms:modified>
  <dc:language>ru-RU</dc:language>
</cp:coreProperties>
</file>