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исполнении регионального проекта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«Формирование отрицательного отношения к коррупции»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Агентством инвестиционного развития Республики Татарстан за 2024 год</w:t>
      </w:r>
    </w:p>
    <w:p>
      <w:pPr>
        <w:spacing w:after="0" w:line="240" w:lineRule="auto"/>
        <w:jc w:val="center"/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48" w:type="dxa"/>
        <w:tblLayout w:type="fixed"/>
        <w:tblLook w:val="04A0" w:firstRow="1" w:lastRow="0" w:firstColumn="1" w:lastColumn="0" w:noHBand="0" w:noVBand="1"/>
      </w:tblPr>
      <w:tblGrid>
        <w:gridCol w:w="647"/>
        <w:gridCol w:w="10262"/>
        <w:gridCol w:w="2341"/>
        <w:gridCol w:w="2698"/>
      </w:tblGrid>
      <w:tr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43" w:type="dxa"/>
        <w:tblLayout w:type="fixed"/>
        <w:tblLook w:val="04A0" w:firstRow="1" w:lastRow="0" w:firstColumn="1" w:lastColumn="0" w:noHBand="0" w:noVBand="1"/>
      </w:tblPr>
      <w:tblGrid>
        <w:gridCol w:w="647"/>
        <w:gridCol w:w="10262"/>
        <w:gridCol w:w="2340"/>
        <w:gridCol w:w="2694"/>
      </w:tblGrid>
      <w:tr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43"/>
        </w:trPr>
        <w:tc>
          <w:tcPr>
            <w:tcW w:w="15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Оценка состояния коррупции в Республике Татарстан</w:t>
            </w:r>
          </w:p>
          <w:p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Проведение отраслевых исследований коррупционных факторов и реализуемых антикоррупционных мер среди целевых групп и опубликованы результаты указанных исследований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Ежегодно проводится опрос общественного  мнения  о состоянии  коррупции,  целью  которого  является  выявление отношения граждан к коррупции, установлению причин  и  условий  ее  возникновения.  Опрос  размещен  в  подразделе  «Опрос общественного  мнения  по противодействию  коррупции» на сайте Агентства https://tida.tatarstan.ru/anticor/oprosobsh.htm.</w:t>
            </w:r>
          </w:p>
        </w:tc>
      </w:tr>
      <w:tr>
        <w:tc>
          <w:tcPr>
            <w:tcW w:w="15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 Размещение проектов разработанных нормативных правовых актов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 </w:t>
            </w:r>
            <w:hyperlink r:id="rId7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Информация о независимой антикоррупционной экспертизе нормативных правовых актов и проектов нормативных правовых актов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размещается  на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официальном сайте  агентства в разделе «Противодействие  коррупции»  с опубликованием   данных даты  начала  экспертизы, даты окончания экспертизы и контактных данных разработчика. В 2024 году было опубликовано 9 НПА. Доля  проектов НПА ведомства, подвергнутых    антикоррупционной экспертизе составляет 100 %  </w:t>
            </w:r>
          </w:p>
        </w:tc>
      </w:tr>
    </w:tbl>
    <w:p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исполнении комплекса процессных мероприятий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«Совершенствование антикоррупционной политики Республики Татарстан»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Агентством инвестиционного развития Республики Татарстан за 2024 год 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48" w:type="dxa"/>
        <w:tblLayout w:type="fixed"/>
        <w:tblLook w:val="04A0" w:firstRow="1" w:lastRow="0" w:firstColumn="1" w:lastColumn="0" w:noHBand="0" w:noVBand="1"/>
      </w:tblPr>
      <w:tblGrid>
        <w:gridCol w:w="647"/>
        <w:gridCol w:w="10262"/>
        <w:gridCol w:w="2341"/>
        <w:gridCol w:w="2698"/>
      </w:tblGrid>
      <w:tr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48" w:type="dxa"/>
        <w:tblLayout w:type="fixed"/>
        <w:tblLook w:val="04A0" w:firstRow="1" w:lastRow="0" w:firstColumn="1" w:lastColumn="0" w:noHBand="0" w:noVBand="1"/>
      </w:tblPr>
      <w:tblGrid>
        <w:gridCol w:w="647"/>
        <w:gridCol w:w="10262"/>
        <w:gridCol w:w="2341"/>
        <w:gridCol w:w="2698"/>
      </w:tblGrid>
      <w:tr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43"/>
        </w:trPr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1. Совершенствование инструментов и механизмов, в том числе правовых и организационных, противодействия коррупции</w:t>
            </w:r>
          </w:p>
          <w:p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 Разработка и актуализация нормативных правовых актов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Агентством инвестиционного развития Республики Татарстан за истекший период в 2024 году утверждены: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 Приказ от 23.01.2024 № 3 «О программе Агентства инвестиционного развития Республики Татарстан по реализации антикоррупционной политики»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>
        <w:trPr>
          <w:trHeight w:val="16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 Функционирование подразделений органов публичной власти в Республике Татарстан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(с освобождением от иных функций, не относящихся к антикоррупционной работе)) в соответствии с </w:t>
            </w:r>
            <w:hyperlink r:id="rId8" w:anchor="/document/196300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Российской Федерации № 1065 и </w:t>
            </w:r>
            <w:hyperlink r:id="rId9" w:anchor="/document/8166002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Республики Татарстан № УП-711, соблюдение принципа стабильности кадров, осуществляющих вышеуказанные функции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Приказом Агентства от 07.12.2023 № 43 «О назначении ответственного лица по предупреждению коррупционных правонарушений, за работу ко-миссии при Руководителе Агентства инвестиционного развития Республики Татарстан по противодействию коррупции, за работу комиссии по соблюдению требований к служебному поведению государственных гражданских служащих Республики Татарстан 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урегулированию конфликта интересов Агентства инвестиционного развития Республики Татарстан, за работу Общественного совета при Агентстве инвестиционного развития Республики Татарстан» ответственным лицом за работу по профилактике коррупционных и иных правонарушений назначен ведущий советник отдела правового и документационного обеспечения Агентства.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 отчетный период лицом, ответственным за работу по профилактике коррупционных и иных правонарушений, предоставлены разъяснения государственным гражданским служащим Агентства по соблюдению ограничений, запретов, исполнению обязанностей, установленных в целях противодействия коррупции, принятию мер по предотвращению и урегулированию конфликта интересов, недопущению в своей деятельности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коррупционно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-опасного поведения.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 марта 2024 года для сотрудников Агентства был организован семинар-обучение по порядку заполнения и представления государственными гражданскими служащими сведений о доходах, расходах, об имуществе и обязательствах имущественного характера в 2024 году (за 2023 год), в том числе с использованием программы «Справки БК».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1.3. Оценка коррупционных рисков, возникающих при реализации государственными гражданскими служащими Республики Татарстан, муниципальными служащими в Республике Татарстан функций, и внесение (при необходимости) уточнений в перечни должностей государственной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гражданской службы Республики Татарстан, муниципальной службы в Республике Татарстан, замещение которых связано с коррупционными рисками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ганы местного самоуправления 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 соответствии с приказом Агентства от 08.07.2024 № 23 в Агентстве определено 21 должности государственной службы, замещение которых связано с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коррупционными рисками.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Оценка коррупционных рисков, возникающих при реализации полномочий Агентства, проводилась ежеквартально 28.03.2024, 13.06.2024,  26.09.2024, 19.12.2024 на заседаниях комиссии по противодействию коррупции.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1.4. Анализ личных дел государственных гражданских служащих Республики Татарстан, муниципальных служащих в Республике Татарстан и актуализация сведений, содержащихся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 постоянной основе ведется  анализ  личных  дел  государственных  гражданских  служащих и актуализация сведений, содержащихся в анкетах, представляемых  при  поступлении на  такую  службу,  об  их  родственниках и  свойственниках (супругах своих братьев и сестер и о братьях и сестрах своих супругов), в целях выявления  возможного  конфликта интересов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 Проведение проверок по соблюдению государственными гражданскими служащими Республики Татарстан требований к служебному поведению, предусмотренных законодательством о государственной службе, и муниципальными служащими Республики Татарстан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 отчетный период ответственным лицом по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профилактике  коррупционных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и иных  правонарушений  проведена работа по проверке государственных гражданских  служащих  на предмет участия в деятельности коммерческих  организаций  по программе ЕГРИП и ЕГРЮЛ. За отчетный период нарушения отсутствуют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1.7. Проведение мониторинга участия лиц, замещающих государственные должности Республики Татарстан, муниципальные должности, должности государственной гражданской службы Республики Татарстан, должности муниципальной службы в Республике Татарстан, в управлении коммерческими и некоммерческими организациями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Должностным лицом ежеквартально осуществляется мониторинг участия государственных гражданских  служащих  Республики Татарстан на предмет участия  в  деятельности  и управлении  коммерческими  и некоммерческими  организациями. В отчетный период нарушений не установлено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1.8. Проведение работы в целях обеспечения соблюдения обязанности принимать меры, предусмотренные положениями </w:t>
            </w:r>
            <w:hyperlink r:id="rId10" w:anchor="/document/12164203/entry/133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статьи 13.3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Федерального закона от 25 декабря 2008 года № 273-ФЗ «О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противодействии коррупции», по предупреждению коррупции, в том числе по выявлению, предотвращению и урегулированию конфликта интересов с организациями, подведомственными органам публичной власти в Республике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Республиканские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органы исполнительной власти, органы местного самоуправления (по согласованию)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Организации, подведомственные Агентству, в настоящее время отсутствуют.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1.9. Утверждение и исполнение годовых планов работ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0"/>
              <w:widowControl w:val="0"/>
              <w:spacing w:after="0" w:line="240" w:lineRule="auto"/>
            </w:pPr>
            <w:bookmarkStart w:id="0" w:name="p_399023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</w:t>
            </w:r>
          </w:p>
          <w:p>
            <w:pPr>
              <w:pStyle w:val="a0"/>
              <w:widowControl w:val="0"/>
              <w:spacing w:after="0"/>
            </w:pPr>
            <w:bookmarkStart w:id="1" w:name="p_399024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План работы   Комиссии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 противодействию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коррупции при  руководителе Агентства инвестиционного развития Республики Татарстан утвержден 21.12.2023 К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миссией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 противодействию коррупции при  руководителе Агентства инвестиционного развития Республики Татарстан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Все мероприятия согласно утвержденному плану в текущем году проведены в полном объеме.</w:t>
            </w:r>
          </w:p>
        </w:tc>
      </w:tr>
      <w:tr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2. Выявление и устранение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f9"/>
              <w:spacing w:line="228" w:lineRule="auto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 2.1. Обеспечение условий для проведения антикоррупционной экспертизы нормативных правовых актов и проектов нормативных правовых актов и обобщение результатов проведения указанной экспертизы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line="228" w:lineRule="auto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Антикоррупционная экспертиза нормативных правовых актов и проектов нормативных правовых актов Агентства проводится в соответствии с Правилами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Порядком  проведения  антикоррупционной  экспертизы  отдельных нормативных правовых актов и проектов нормативных правовых актов, утвержденным Постановлением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Кабинета Министров Республики Татарстан от 24.12.2009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№ 883. Ответственным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лицом  за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проведение  антикоррупционной экспертизы нормативных правовых актов и их проектов определен ведущий советник отдела правового и документационного обеспечения Узбеков Ш.М..</w:t>
            </w:r>
          </w:p>
          <w:p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 официальный  портал  Республики  Татарстан http://tatarstan.ru/regulation,  определенный  для  размещения проектов  нормативных  правовых  актов  органов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государ-ственной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власти Республики Татарстан для проведения их не-зависимой антикоррупционной экспертизы и общественного обсуждения, в отчётный период было размещено 9 норматив-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правовых актов. В ходе проведения антикоррупционной экспертизы проектов нормативных правовых актов, разработанных Агентством в 2024 году,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факторов не выявлено, заключений от независимых экспертов не поступало.</w:t>
            </w:r>
          </w:p>
        </w:tc>
      </w:tr>
      <w:tr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Задача 3. 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f9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3.7. Осуществление работы по формированию у государственных гражданских служащих Республики Татарстан, муниципальных служащих в Республике Татарстан, работников органов публичной власти в Республике Татарстан, государственных и муниципальных организаций отрицательного отношения к коррупции, в том числе принятие организационных, разъяснительных и иных мер по соблюдению государственными гражданскими служащими Республики Татарстан, муниципальными служащими в Республике Татарстан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отчетном периоде проводились профилактические беседы с государственными гражданскими служащими.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Сотрудникам при увольнении с государственной гражданской службы выдается памятка о запретах, установленных для гражданина после увольнения его с гражданской службы. За 2024 год данная памятка выдана 18 уволившимся сотрудникам.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 целях профилактики коррупционных и иных правонарушений, формирования у работников Агентства отрицательного отношения к коррупции, в 2024 году реализовывались, в том числе, мероприятия, предусмотренные Программой Агентства по реализации антикоррупционной политики на 2015-2025 годы.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обязательном порядке проводится работа с гражданами, поступающими на государственную службу, по ознакомлению с требованиями действующего законодательства о государственной службе и противодействию коррупции.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 антикоррупционной направленности до сведения сотрудников Агентства доводится посредством электронного документооборота, размещения информации на официальном сайте Агентства, информационном стенде, электронной почты.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2024 году лицом, ответственным за работу по профилактике коррупционных и иных правонарушений, предоставлялись разъяснения государственным гражданским служащим Агентства по соблюдению ограничений, запретов, исполнению обязанностей, установленных в целях противодействия коррупции, принятию мер по предотвращению и урегулированию конфликта интересов, недопущению в своей деятельности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коррупционно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опасного поведения.</w:t>
            </w:r>
          </w:p>
          <w:p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Кроме того, на регулярной ос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нове проводятся аппаратные совещания Агентства, в повестку дня которых включается вопрос по соблюдению государственными гражданскими служащими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подарков.</w:t>
            </w:r>
          </w:p>
        </w:tc>
      </w:tr>
      <w:tr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3.8. Рассмотрение отчетов о реализации программ противодействия коррупции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заседаниях общественных советов органов публичной власти Республики Татарс</w:t>
            </w: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Приказом Агентства от 20.12.2016 № 46 утверждено Положение об Общественном совете при Агентстве инвестиционного развития Республики Татарстан. Состав Общественного совета при Агентстве утвержден приказом Агентства от 05.04.2024 № 15.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Агентство  обеспечивает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организационно-техническую поддержку Общественного совета при Агентстве, представители которого участвуют в работе совещаний и за-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седаний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коллегии, работают в составе антикоррупционной комиссии, комиссии по соблюдению требований к служебному поведению и конкурсных комиссий Агентства.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Члены  Общественного  совета  28.03.2024, 30.09.2024, 21.11.2024,  20.12.2024 принимали участие на заседаниях Общественного совета при Руководителе Агентства инвестиционного развития Республики  Татарстан, на которых рассматривалась информация о реализации программ противодействия коррупции в Агентстве.</w:t>
            </w:r>
          </w:p>
        </w:tc>
      </w:tr>
      <w:tr>
        <w:trPr>
          <w:trHeight w:val="594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4. Обеспечение открытости, доступности для населения деятельности органов публичной власти в Республике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 Обеспечение функционирования в органах публичной власти в Республике Татарстан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 официальном  сайте  Агентства ведется и поддерживается в актуальном состоянии раздел  «Противодействие  коррупции»  с  соответствующими подразделами, в которых отражаются  результаты  антикоррупционной деятельности Агентства  в  соответствии  с Едиными требованиями, предъявляемыми  к  официальным сайтам  исполнительных  органов  государственной  власти Республики  Татарстан  в  ин-формационно-телекоммуникационной  сети «Интернет»  по  вопросам  противодействия коррупции, установленными  Постановлением Кабинета Министров РТ от 04.04.2013 № 225. В Агентстве организована работа «телефона доверия» для сообщений о проявлениях коррупции. За отчетный период сообщений о  коррупционных  правонарушениях на  «телефон доверия» не поступало. Также  функционирует  «Ящик доверия»,  который  установлен в фойе главного здания. На официальном сайте функционирует  общественная интернет-приемная,   позволяющая гражданам сообщать о ставших  известными им фактах коррупции, причинах и условиях, способствующих их совершению. За отчетный период информация не поступала.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 Проведение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при руководителях республиканских органов исполнитель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органы местного самоуправления (по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Пресс-службой Агентства осуществляется регулярный мониторинг информации о коррупционных проявлениях, содержащейся в средствах массовой информации, в сети «Интернет»,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обращениях граждан и юридических лиц. Агентство ведет активную работу с различными формами СМИ (печатными изданиями, сетевыми изданиями, телеканалами и др.).    На официальном сайте Агентства, в подразделе «Интернет приемная» раздела «Обращения граждан», имеется возможность для граждан сообщать о фактах коррупционных проявлений. За отчетный период информации коррупционной направленности не выявлено.</w:t>
            </w:r>
          </w:p>
        </w:tc>
      </w:tr>
      <w:tr>
        <w:trPr>
          <w:trHeight w:val="851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4.4. Оформление и актуализация специальных информационных стендов, разделов «Противодействие коррупции» официальных сайтов органов публичной власти в Республике Татарстан и иные формы предоставления информации антикоррупционного содержания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фойе 1 этажа здания Агентства размещен информационный стенд «Противодействие коррупции», на котором размещена антикоррупционная программа, информационные материалы о противодействии коррупции. Стенд «Противодействие коррупции» обновляется по мере внесения изменений в антикоррупционное законодательство.</w:t>
            </w:r>
          </w:p>
        </w:tc>
      </w:tr>
      <w:tr>
        <w:trPr>
          <w:trHeight w:val="636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5.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проведены мероприятия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Государственные  закупки  осу-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ществляются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соответствии с Федеральным  законом  от  05 апреля 2013 года № 44-ФЗ «О контрактной  системе  в  сфере закупок  товаров,  работ,  услуг для обеспечения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государствен-ных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муниципальных нужд». План-график закупок размещается на главной странице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офи-циального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сайта  Российской Федерации  в  «Единой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инфор-мационной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системе  в  сфере закупок» в сети интернет. Информация о закупках, в том числе  и 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отчет  о  результатах исполнения  контракта,  публикуется на официальном сайте.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5.3. Осуществление ведомственного контроля за закупками подведомственных республиканским органам исполнительной власти организаций, проводимыми в соответствии с Федеральными законами </w:t>
            </w:r>
            <w:hyperlink r:id="rId11" w:anchor="/document/1218808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18 июля 2011 года № 223-ФЗ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закупках товаров, работ, услуг отдельными видами юридических лиц», </w:t>
            </w:r>
            <w:hyperlink r:id="rId12" w:anchor="/document/70353464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5 апреля 2013 года № 44-ФЗ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контрактной системе в сфере закупок товаров, 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имеющие подведомственные организации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Организации, подведомственные Агентству, в настоящее время отсутствуют.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5.4. Проведение анализа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Закупки  товаров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 работ,  услуг для  нужд  Агентством осуществляется в соответствии с Федеральным законом от 05.04.2013 № 44-ФЗ «О контрактной  системе  в  сфере закупок  товаров,  работ,  услуг для обеспечения государственных и муниципальных нужд». Обоснование начальной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максимальной  цены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контракта  про-водится методом сопоставимых рыночных  цен.  Запросы на коммерческие   предложения направляются  на  электронную почту  поставщиков.  Изучение цен  происходит  с  помощью интернет ресурса.</w:t>
            </w:r>
          </w:p>
        </w:tc>
      </w:tr>
      <w:tr>
        <w:trPr>
          <w:trHeight w:val="407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6. Последовательное снижение административного давления на предпринимательство (бизнес-структуры)</w:t>
            </w:r>
          </w:p>
        </w:tc>
      </w:tr>
      <w:tr>
        <w:trPr>
          <w:trHeight w:val="443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7. Повышение эффективности взаимодействия органов государственной власти Республики Татарстан с правоохранительными органами</w:t>
            </w:r>
          </w:p>
        </w:tc>
      </w:tr>
      <w:tr>
        <w:trPr>
          <w:trHeight w:val="407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8. Усиление мер по минимизации бытовой коррупции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8.4. Проведение мониторинга обращений граждан о проявлениях коррупции в социально-экономических отраслях жизнедеятельности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 проведении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мониторинга обращений граждан в Агентство    проявления коррупции   в   социально-экономических  отраслях  жизнедеятельности не выявлены. Результаты  опроса  общественного мнения о состоянии коррупции ежегодно размещаются на сайте Агентства.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8.8. 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 отчетный период случаев несоблюдения запретов, ограничений и требований, установленных в целях противодействия коррупции, не установлено. 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8.9. Осуществление контроля за соблюдением лицами, замещающими должности государственной гражданской службы Республики Татарстан и муниципальной службы в Республике Татарстан, требований </w:t>
            </w:r>
            <w:hyperlink r:id="rId13" w:anchor="/document/1216420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законодательства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Случаи возникновения конфликта интересов на государственной службе за отчетный период не выявлены.</w:t>
            </w:r>
          </w:p>
        </w:tc>
      </w:tr>
    </w:tbl>
    <w:p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>
      <w:headerReference w:type="default" r:id="rId14"/>
      <w:headerReference w:type="first" r:id="rId15"/>
      <w:pgSz w:w="16838" w:h="11906" w:orient="landscape"/>
      <w:pgMar w:top="709" w:right="567" w:bottom="1134" w:left="567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f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0495" cy="172720"/>
              <wp:effectExtent l="0" t="0" r="0" b="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0495" cy="172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afc"/>
                          </w:pPr>
                          <w:r>
                            <w:rPr>
                              <w:rStyle w:val="af1"/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f1"/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f1"/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f1"/>
                              <w:rFonts w:ascii="Times New Roman" w:hAnsi="Times New Roman"/>
                              <w:noProof/>
                              <w:color w:val="000000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Style w:val="af1"/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2520" tIns="2520" rIns="2520" bIns="25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11.85pt;height:13.6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" o:allowincell="f" filled="f" stroked="f" strokeweight="0">
              <v:path arrowok="t"/>
              <v:textbox inset=".07mm,.07mm,.07mm,.07mm">
                <w:txbxContent>
                  <w:p>
                    <w:pPr>
                      <w:pStyle w:val="afc"/>
                    </w:pPr>
                    <w:r>
                      <w:rPr>
                        <w:rStyle w:val="af1"/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f1"/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f1"/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f1"/>
                        <w:rFonts w:ascii="Times New Roman" w:hAnsi="Times New Roman"/>
                        <w:noProof/>
                        <w:color w:val="000000"/>
                        <w:sz w:val="24"/>
                        <w:szCs w:val="24"/>
                      </w:rPr>
                      <w:t>9</w:t>
                    </w:r>
                    <w:r>
                      <w:rPr>
                        <w:rStyle w:val="af1"/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2495C"/>
    <w:multiLevelType w:val="multilevel"/>
    <w:tmpl w:val="0AAE09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074C6C"/>
    <w:multiLevelType w:val="multilevel"/>
    <w:tmpl w:val="1870C29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03DA91-537E-43B6-B8DF-9BC6C0DC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Calibri" w:hAnsi="Times New Roman" w:cs="Times New Roman"/>
      <w:color w:val="000000"/>
      <w:sz w:val="20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sz w:val="24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sz w:val="24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6z0">
    <w:name w:val="WW8Num26z0"/>
    <w:qFormat/>
    <w:rPr>
      <w:sz w:val="24"/>
    </w:rPr>
  </w:style>
  <w:style w:type="character" w:customStyle="1" w:styleId="WW8Num26z1">
    <w:name w:val="WW8Num26z1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Times New Roman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St14z0">
    <w:name w:val="WW8NumSt14z0"/>
    <w:qFormat/>
    <w:rPr>
      <w:rFonts w:ascii="Symbol" w:hAnsi="Symbol" w:cs="Symbol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b/>
      <w:i/>
      <w:sz w:val="28"/>
      <w:szCs w:val="24"/>
      <w:u w:val="single"/>
    </w:rPr>
  </w:style>
  <w:style w:type="character" w:customStyle="1" w:styleId="2">
    <w:name w:val="Основной текст с отступом 2 Знак"/>
    <w:basedOn w:val="a1"/>
    <w:qFormat/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Основной текст 2 Знак"/>
    <w:basedOn w:val="a1"/>
    <w:qFormat/>
  </w:style>
  <w:style w:type="character" w:customStyle="1" w:styleId="a4">
    <w:name w:val="Цветовое выделение"/>
    <w:qFormat/>
    <w:rPr>
      <w:b/>
      <w:color w:val="000080"/>
    </w:rPr>
  </w:style>
  <w:style w:type="character" w:customStyle="1" w:styleId="a5">
    <w:name w:val="Название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1"/>
    <w:qFormat/>
  </w:style>
  <w:style w:type="character" w:customStyle="1" w:styleId="a7">
    <w:name w:val="Нижний колонтитул Знак"/>
    <w:basedOn w:val="a1"/>
    <w:qFormat/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 с отступом Знак"/>
    <w:basedOn w:val="a1"/>
    <w:qFormat/>
  </w:style>
  <w:style w:type="character" w:styleId="aa">
    <w:name w:val="Strong"/>
    <w:qFormat/>
    <w:rPr>
      <w:b/>
      <w:bCs/>
    </w:rPr>
  </w:style>
  <w:style w:type="character" w:customStyle="1" w:styleId="ab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ad">
    <w:name w:val="Текст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Символ сноски"/>
    <w:qFormat/>
    <w:rPr>
      <w:vertAlign w:val="superscript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6"/>
      <w:szCs w:val="26"/>
    </w:rPr>
  </w:style>
  <w:style w:type="character" w:styleId="af">
    <w:name w:val="Hyperlink"/>
    <w:rPr>
      <w:color w:val="0000FF"/>
      <w:u w:val="single"/>
    </w:rPr>
  </w:style>
  <w:style w:type="character" w:customStyle="1" w:styleId="af0">
    <w:name w:val="Гипертекстовая ссылка"/>
    <w:qFormat/>
    <w:rPr>
      <w:rFonts w:cs="Times New Roman"/>
      <w:b/>
      <w:bCs/>
      <w:color w:val="008000"/>
    </w:rPr>
  </w:style>
  <w:style w:type="character" w:styleId="af1">
    <w:name w:val="page number"/>
    <w:basedOn w:val="a1"/>
  </w:style>
  <w:style w:type="character" w:styleId="af2">
    <w:name w:val="annotation reference"/>
    <w:qFormat/>
    <w:rPr>
      <w:sz w:val="16"/>
      <w:szCs w:val="16"/>
    </w:rPr>
  </w:style>
  <w:style w:type="character" w:customStyle="1" w:styleId="af3">
    <w:name w:val="Текст примечания Знак"/>
    <w:qFormat/>
    <w:rPr>
      <w:sz w:val="20"/>
      <w:szCs w:val="20"/>
    </w:rPr>
  </w:style>
  <w:style w:type="character" w:customStyle="1" w:styleId="af4">
    <w:name w:val="Тема примечания Знак"/>
    <w:qFormat/>
    <w:rPr>
      <w:b/>
      <w:bCs/>
      <w:sz w:val="20"/>
      <w:szCs w:val="20"/>
    </w:rPr>
  </w:style>
  <w:style w:type="paragraph" w:styleId="af5">
    <w:name w:val="Title"/>
    <w:basedOn w:val="a"/>
    <w:next w:val="a0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0">
    <w:name w:val="Body Text"/>
    <w:basedOn w:val="a"/>
    <w:pPr>
      <w:spacing w:after="140"/>
    </w:pPr>
  </w:style>
  <w:style w:type="paragraph" w:styleId="af6">
    <w:name w:val="List"/>
    <w:basedOn w:val="a0"/>
    <w:rPr>
      <w:rFonts w:ascii="PT Astra Serif" w:hAnsi="PT Astra Serif"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33">
    <w:name w:val="Body Text 3"/>
    <w:basedOn w:val="a"/>
    <w:qFormat/>
    <w:pPr>
      <w:keepNext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4"/>
      <w:u w:val="single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eastAsia="Times New Roman" w:hAnsi="Calibri" w:cs="Calibri"/>
      <w:b/>
      <w:bCs/>
      <w:sz w:val="22"/>
      <w:szCs w:val="22"/>
      <w:lang w:eastAsia="zh-CN"/>
    </w:rPr>
  </w:style>
  <w:style w:type="paragraph" w:customStyle="1" w:styleId="af9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afa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pPr>
      <w:spacing w:after="0" w:line="240" w:lineRule="auto"/>
    </w:pPr>
  </w:style>
  <w:style w:type="paragraph" w:styleId="afd">
    <w:name w:val="footer"/>
    <w:basedOn w:val="a"/>
    <w:pPr>
      <w:spacing w:after="0" w:line="240" w:lineRule="auto"/>
    </w:pPr>
  </w:style>
  <w:style w:type="paragraph" w:styleId="af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lang w:eastAsia="zh-CN"/>
    </w:rPr>
  </w:style>
  <w:style w:type="paragraph" w:customStyle="1" w:styleId="aff">
    <w:name w:val="Абзац с отсуп"/>
    <w:basedOn w:val="a"/>
    <w:qFormat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">
    <w:name w:val="Стиль1"/>
    <w:basedOn w:val="a"/>
    <w:qFormat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ff0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styleId="aff2">
    <w:name w:val="Body Text Indent"/>
    <w:basedOn w:val="a"/>
    <w:pPr>
      <w:spacing w:after="120"/>
      <w:ind w:left="283"/>
    </w:pPr>
  </w:style>
  <w:style w:type="paragraph" w:customStyle="1" w:styleId="NormalWeb1">
    <w:name w:val="Normal (Web)1"/>
    <w:basedOn w:val="a"/>
    <w:qFormat/>
    <w:pPr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Iauiue">
    <w:name w:val="Iau?iue"/>
    <w:qFormat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f3">
    <w:name w:val="end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4">
    <w:name w:val="foot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1"/>
    <w:basedOn w:val="a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5">
    <w:name w:val="Знак Знак Знак Знак Знак Знак"/>
    <w:basedOn w:val="a"/>
    <w:qFormat/>
    <w:pPr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f6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7">
    <w:name w:val="annotation subject"/>
    <w:basedOn w:val="aff6"/>
    <w:next w:val="aff6"/>
    <w:qFormat/>
    <w:rPr>
      <w:b/>
      <w:bCs/>
    </w:rPr>
  </w:style>
  <w:style w:type="paragraph" w:customStyle="1" w:styleId="Style6">
    <w:name w:val="Style6"/>
    <w:basedOn w:val="a"/>
    <w:qFormat/>
    <w:pPr>
      <w:widowControl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12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17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863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9263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298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tarstan.ru/regulation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12</Pages>
  <Words>3597</Words>
  <Characters>20505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Наталья</dc:creator>
  <dc:description/>
  <cp:lastModifiedBy>Узбеков Шамиль Мохаммядиевич</cp:lastModifiedBy>
  <cp:revision>22</cp:revision>
  <cp:lastPrinted>2014-07-16T15:25:00Z</cp:lastPrinted>
  <dcterms:created xsi:type="dcterms:W3CDTF">2024-10-25T08:52:00Z</dcterms:created>
  <dcterms:modified xsi:type="dcterms:W3CDTF">2024-12-25T14:29:00Z</dcterms:modified>
  <dc:language>ru-RU</dc:language>
</cp:coreProperties>
</file>