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по реализации комплекса процессных мероприятий 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«Реализация антикоррупционной политики Агентства инвестиционного развития Республики Татарстан»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квартале 2024 года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759"/>
        <w:gridCol w:w="5176"/>
        <w:gridCol w:w="2119"/>
        <w:gridCol w:w="7080"/>
      </w:tblGrid>
      <w:tr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Наименование мероприятия (результата) 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контрольной точки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Ответственный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об исполнении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76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5151" w:type="dxa"/>
        <w:tblLook w:val="01E0" w:firstRow="1" w:lastRow="1" w:firstColumn="1" w:lastColumn="1" w:noHBand="0" w:noVBand="0"/>
      </w:tblPr>
      <w:tblGrid>
        <w:gridCol w:w="759"/>
        <w:gridCol w:w="5179"/>
        <w:gridCol w:w="2108"/>
        <w:gridCol w:w="11"/>
        <w:gridCol w:w="7094"/>
      </w:tblGrid>
      <w:tr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Разработаны и актуализированы нормативные правовые акты Агентства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первом квартале Агентством инвестиционного развития Республики Татарстан изданы приказы: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23.01.2024 № 3 «О программе Агентства инвестиционного развития Республики Татарстан по реализации антикоррупционной политики».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Агентстве, в соответствии с Указом </w:t>
            </w:r>
            <w:r>
              <w:rPr>
                <w:rFonts w:ascii="Times New Roman" w:hAnsi="Times New Roman" w:cs="Times New Roman"/>
                <w:szCs w:val="24"/>
              </w:rPr>
              <w:t>Президента Российской Федерации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№ 1065 и Указом </w:t>
            </w:r>
            <w:r>
              <w:rPr>
                <w:rFonts w:ascii="Times New Roman" w:hAnsi="Times New Roman" w:cs="Times New Roman"/>
                <w:szCs w:val="24"/>
              </w:rPr>
              <w:t xml:space="preserve">Президента Республики Татарстан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УП-711, соблюдение принципа стабильности кадров, осуществляющих вышеуказанные функции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Приказом Агентства от 07.12.2023 № 43 «О назначен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ии ответственного лица по преду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преждению коррупционных правонарушений, за работу ко-миссии при Руководителе Агентства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инвестиционного развития Респуб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лики Татарстан по противодействию коррупции, за работу комиссии по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соблюде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нию требований к служебному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поведению государственных граж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данских служащих Ре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спублики Татарстан и урегулиро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боту по профилактике коррупцион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ных и иных правонарушений назначен ведущий советник от-дела правового и кадрового обеспечения Агентства.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лицом, от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ветственным за работу по профилактике коррупционн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ых и иных правонарушений, предо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ставлены разъяснения гос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ударственным гражданским служа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щим Агентства по соблюдению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ограничений, запретов, исполнению обязанностей, установлен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ных в целях противодействия коррупции, принятию мер по пре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дотвращению и урегулиро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ванию конфликта интерес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ов, недопущению в своей деятель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ности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коррупционноопасного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поведения.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17 марта 2024 года для сотрудников Агентства был организо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ван семи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нар-обучение по поряд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ку заполнения и представления государственными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граждански-ми служащими сведений о до-ходах, расходах, об имуществе и обязательствах имущественного характера в 2024 году (за 2023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год), в том числе с использова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нием программы «Справки БК».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Агентстве функций, и внесены (при необходимости) уточнения в перечни должностей государственной гражданской службы Республики Татарстан в Агентстве, замещение которых связано с коррупционными рисками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соответствии с приказом Агентства от 23.12.2022 № 73 в Агентстве определено 22 должности государственной службы, замещение которых связано с коррупционными рисками.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Оценка коррупционных рисков, возникающих при реализации полномочий Агентства, проводилась в II квартале на заседании комиссии по противодействию коррупции.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Проанализированы личные дела государственных гражданских служащих Республики Татарстан в Агентстве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постоянной основе ведется  анализ  личных  дел  государственных  гражданских  служащих и актуализация сведений, содержащихся в анкетах, представляемых  при  поступлении на  такую  службу,  об  их  родственниках и  свойственниках (супругах своих братьев и се-стер и о братьях и сестрах своих супругов), в целях выявления  возможного  конфликта интересов</w:t>
            </w:r>
          </w:p>
        </w:tc>
      </w:tr>
      <w:tr>
        <w:trPr>
          <w:trHeight w:val="9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проверки соблюдения государственными гражданскими служащими Республики Татарстан в Агентстве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отчетном периоде лицом, ответственным за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проверки соблюдения государственными гражданскими служащими Агентства требований к служебному поведению не выявлено.</w:t>
            </w:r>
          </w:p>
          <w:p>
            <w:pPr>
              <w:spacing w:after="0" w:line="240" w:lineRule="auto"/>
              <w:ind w:firstLine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Агентстве, в управлении коммерческими и некоммерческими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Проверка информации по участию государственных гражданских служащих в управлении коммерческими и некоммерческими организациями осуществляется посредством доступа к открытым базам данных ЕГРЮЛ и ЕГРИП Управления ФНС по РТ. В отчетном периоде нарушений не выявлено.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организациями, подведомственными Агентству,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и исполнен годовой план работы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 план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 работы   Ко-миссии по  противодействию коррупции при  руководителе Агентства инвестиционного развития Республики Татарстан. Согласно плану в текущем году проведено 2 заседания Комиссии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меры юридической ответственности к государственным гражданским служащим в Агентстве не применялись ввиду отсутствия оснований.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Выявление и устранение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факторов в проектах нормативных правовых актов Агентства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Агентством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Агентством, и обобщены результаты проведения указанной экспертизы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Отдел регистрации нормативных правовых актов и правового обеспечения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Должностным лицом, ответ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ственным за проведение </w:t>
            </w: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анти-коррупционной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экспертизы, является ведущий советник отдела правового и кадрового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отчетном периоде проведена независимая антикоррупционная экспертиза 8 проектов но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рмативных правовых актов. Соот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ветствующая </w:t>
            </w:r>
            <w:proofErr w:type="gram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 р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азмещается</w:t>
            </w:r>
            <w:proofErr w:type="gram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 на официальном сай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те.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факторов за истекший период выявлено не было.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состояния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Проведены исследования коррупционных факторов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и реализуемых антикоррупционных мер в сфере деятельности Агентства, опубликованы результаты указанных исследований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 xml:space="preserve">Ответственное лицо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 Единой государственной системе отчетности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Отчѐты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ведомств» ин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формационного портала «Открытый Татарстан» Агентством в установленные сроки размещена информация в отчете «Антикоррупционный мониторинг» за 2 квартал 2024 года.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официальном сайте Агентства в подразделе «Опрос общественного мнения, анкетирование» раздела «Противодействие коррупции» ежегодно в 4 квартале проводится анонимный социологический опрос «Опрос общественного мнения о состоянии коррупции в Агентстве инвестиционного развития Республики Татарстан». 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Осуществлена работа по формированию у сотрудников Агентства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Агентстве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2024 год данная памятка выдана 11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2024 году реализовывались, в том числе, мероприятия, предусмотренные Программой Агентства по реализации антикоррупционной политики на 2015-2025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2024 году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заседаниях Общественного совета при Агентстве инвестиционного развития Республике Татарстан рассмотрены отчеты о реализации программы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 проводятся совместные, расширенные заседания Комиссии при председателе Агентства по противодействию коррупции и Общественного совета при Агентстве, на которых рассматриваются отчеты о реализации ведомственной антикоррупционной программы Агентства и иные актуальные вопросы.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состоянию на отчетную дату разъяснения по антикоррупционной тематике и индивидуальные беседы проведены со всеми 22 гражданскими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доступности для граждан деятельности Агентства,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Обеспечено функционирование в Агентстве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ind w:firstLine="23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18"/>
              </w:rPr>
              <w:t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коррупции, уста-</w:t>
            </w:r>
            <w:proofErr w:type="spellStart"/>
            <w:r>
              <w:rPr>
                <w:rFonts w:ascii="Times New Roman" w:hAnsi="Times New Roman"/>
                <w:szCs w:val="18"/>
              </w:rPr>
              <w:t>новленными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 Постановлением КМ РТ от 04.04.2013 </w:t>
            </w:r>
            <w:proofErr w:type="spellStart"/>
            <w:r>
              <w:rPr>
                <w:rFonts w:ascii="Times New Roman" w:hAnsi="Times New Roman"/>
                <w:szCs w:val="18"/>
              </w:rPr>
              <w:t>No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225.В  Агентстве организована работа «телефона доверия» для сообщений о проявлениях коррупции. За отчетный период сообщений </w:t>
            </w:r>
            <w:proofErr w:type="gramStart"/>
            <w:r>
              <w:rPr>
                <w:rFonts w:ascii="Times New Roman" w:hAnsi="Times New Roman"/>
                <w:szCs w:val="18"/>
              </w:rPr>
              <w:t>о  коррупционных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правонарушениях на  «телефон доверия» не поступало. </w:t>
            </w:r>
            <w:proofErr w:type="gramStart"/>
            <w:r>
              <w:rPr>
                <w:rFonts w:ascii="Times New Roman" w:hAnsi="Times New Roman"/>
                <w:szCs w:val="18"/>
              </w:rPr>
              <w:t>Также  функционирует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«Ящик доверия»,  который  установлен в фойе главного здания. На официальном сайте </w:t>
            </w:r>
            <w:proofErr w:type="gramStart"/>
            <w:r>
              <w:rPr>
                <w:rFonts w:ascii="Times New Roman" w:hAnsi="Times New Roman"/>
                <w:szCs w:val="18"/>
              </w:rPr>
              <w:t>функционирует  общественная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before="0" w:after="0"/>
              <w:rPr>
                <w:b w:val="0"/>
              </w:rPr>
            </w:pPr>
            <w:r>
              <w:rPr>
                <w:b w:val="0"/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Агентстве осуществляется работа по проведению мониторинга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 итогам отчетного периода, при анализе обращений граждан и организаций, а также публикаций СМИ факта коррупционных нарушений со стороны государственных гражданских служащих Агентства не выявлено.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Агентства и иные формы предоставления информации антикоррупционного содержания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первом этаже здания Агентства размещены информационный стенд антикоррупционного содержания и мультимедийный экран, информация на которых обновляется по мере изменения законодательства и поддерживается в актуальном состоянии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обращений граждан о проявлениях коррупции в сфере деятельности Агентства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Обращений  о коррупционных проявлениях в сфере деятельности Агентства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Агентства и аппаратов мировых судей Республики Татарстан, повышение эффективности использования государственного имущества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Агентства и аппаратов мировых судей Республики Татарстан,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закупок проводится в строгом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 Информация о проведении закупок является прозрачной, общедоступной и размещается в Единой информационной системе в сфере закупок.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целях создания конкурентных условий, открытости закупок, а также в соответствии с законодательством все заказчики обязаны опубликовать план-графики размещения заказа в Единой информационной системе в сфере закупок. Кроме того, в целях усиления общественного контроля в сфере закупок план-график продублирован на официальном сайте Агентства в разделе «Участие в государственном заказе».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ведомственный контроль за закупками подведомственных Агентству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after="0" w:line="240" w:lineRule="auto"/>
        <w:rPr>
          <w:rFonts w:ascii="Times New Roman" w:eastAsiaTheme="minorEastAsia" w:hAnsi="Times New Roman" w:cs="Times New Roman"/>
          <w:szCs w:val="24"/>
          <w:highlight w:val="cyan"/>
          <w:lang w:eastAsia="ru-RU"/>
        </w:rPr>
      </w:pPr>
    </w:p>
    <w:sectPr>
      <w:headerReference w:type="first" r:id="rId8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3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16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6F19-80C7-4934-960D-C7DF2E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0C14-9624-4EA7-9983-A7FAB4EF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Узбеков Шамиль Мохаммядиевич</cp:lastModifiedBy>
  <cp:revision>3</cp:revision>
  <cp:lastPrinted>2024-01-17T13:34:00Z</cp:lastPrinted>
  <dcterms:created xsi:type="dcterms:W3CDTF">2025-04-28T12:50:00Z</dcterms:created>
  <dcterms:modified xsi:type="dcterms:W3CDTF">2025-04-28T12:50:00Z</dcterms:modified>
</cp:coreProperties>
</file>