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по реализации комплекса процессных мероприятий 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«Реализация антикоррупционной политики Агентства инвестиционного развития Республики Татарстан»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3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квартале 2024 года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759"/>
        <w:gridCol w:w="5176"/>
        <w:gridCol w:w="2119"/>
        <w:gridCol w:w="7080"/>
      </w:tblGrid>
      <w:tr>
        <w:trPr>
          <w:trHeight w:val="276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Наименование мероприятия (результата) /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контрольной точки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Ответственный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исполнитель</w:t>
            </w:r>
          </w:p>
        </w:tc>
        <w:tc>
          <w:tcPr>
            <w:tcW w:w="7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Информация об исполнении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  <w:tr>
        <w:trPr>
          <w:trHeight w:val="276"/>
        </w:trPr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7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15151" w:type="dxa"/>
        <w:tblLook w:val="01E0" w:firstRow="1" w:lastRow="1" w:firstColumn="1" w:lastColumn="1" w:noHBand="0" w:noVBand="0"/>
      </w:tblPr>
      <w:tblGrid>
        <w:gridCol w:w="759"/>
        <w:gridCol w:w="5179"/>
        <w:gridCol w:w="2108"/>
        <w:gridCol w:w="11"/>
        <w:gridCol w:w="7094"/>
      </w:tblGrid>
      <w:tr>
        <w:trPr>
          <w:trHeight w:val="20"/>
          <w:tblHeader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Агентстве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Разработаны и актуализированы нормативные правовые акты Агентства о противодействии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Агентством инвестиционного развития Республики Татарстан изданы приказы: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23.01.2024 № 3 «О программе Агентства инвестиционного развития Республики Татарстан по реализации антикоррупционной политики».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Обеспечено действенное функционирование должностного лица, ответственного за работу по профилактике коррупционных и иных правонарушений в Агентстве, в соответствии с Указом </w:t>
            </w:r>
            <w:r>
              <w:rPr>
                <w:rFonts w:ascii="Times New Roman" w:hAnsi="Times New Roman" w:cs="Times New Roman"/>
                <w:szCs w:val="24"/>
              </w:rPr>
              <w:t>Президента Российской Федерации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№ 1065 и Указом </w:t>
            </w:r>
            <w:r>
              <w:rPr>
                <w:rFonts w:ascii="Times New Roman" w:hAnsi="Times New Roman" w:cs="Times New Roman"/>
                <w:szCs w:val="24"/>
              </w:rPr>
              <w:t xml:space="preserve">Президента Республики Татарстан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№ УП-711, соблюдение принципа стабильности кадров, осуществляющих вышеуказанные функции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Приказом Агентства от 07.12.2023 № 43 «О назначении ответственного лица по предупреждению коррупционных правонарушений, за работу ко-миссии при Руководителе Агентства </w:t>
            </w:r>
            <w:r>
              <w:rPr>
                <w:rFonts w:ascii="Times New Roman" w:hAnsi="Times New Roman"/>
                <w:color w:val="000000"/>
                <w:szCs w:val="18"/>
              </w:rPr>
              <w:t>инвестиционного развития Респуб</w:t>
            </w:r>
            <w:r>
              <w:rPr>
                <w:rFonts w:ascii="Times New Roman" w:hAnsi="Times New Roman"/>
                <w:color w:val="000000"/>
                <w:szCs w:val="18"/>
              </w:rPr>
              <w:t>лики Татарстан по противодействию коррупции, за работу комиссии по соблюдению требований к служебному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поведению государственных граж</w:t>
            </w:r>
            <w:r>
              <w:rPr>
                <w:rFonts w:ascii="Times New Roman" w:hAnsi="Times New Roman"/>
                <w:color w:val="000000"/>
                <w:szCs w:val="18"/>
              </w:rPr>
              <w:t>данских служащих Республики Татарстан и урегулированию конфликта интересов Агентства инвестиционного развития Республики Татарстан, за работу Общественного совета при Агентстве инвестиционного развития Республики Татарстан» ответственным лицом за работу по профилактике коррупционных и иных правонарушений назначен ведущий советник от-дела правового и кадрового обеспечения Агентства.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За отчетный период лицом, ответственным за работу по профилактике коррупционных и иных правонарушений, предоставлены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коррупционноопасного поведения.</w:t>
            </w:r>
          </w:p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17 марта 2024 года для сотрудников Агентства был организован семинар-обучение по порядку заполнения и представления государственными </w:t>
            </w:r>
            <w:r>
              <w:rPr>
                <w:rFonts w:ascii="Times New Roman" w:hAnsi="Times New Roman"/>
                <w:color w:val="000000"/>
                <w:szCs w:val="18"/>
              </w:rPr>
              <w:lastRenderedPageBreak/>
              <w:t>гражданскими служащими сведений о доходах, расходах, об имуществе и обязательствах имущественного характера в 2024 году (за 2023 год), в том числе с использованием программы «Справки БК».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Оценены коррупционные риски, возникающие при реализации государственными гражданскими служащими Республики Татарстан в Агентстве функций, и внесены (при необходимости) уточнения в перечни должностей государственной гражданской службы Республики Татарстан в Агентстве, замещение которых связано с коррупционными рисками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В соответствии с приказом Агентства от 23.12.2022 № 73 в Агентстве определено 22 должности государственной службы, замещение которых связано с коррупционными рисками.</w:t>
            </w:r>
          </w:p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Оценка коррупционных рисков, возникающих при реализации полномочий Агентства, проводилась в II</w:t>
            </w:r>
            <w:r>
              <w:rPr>
                <w:rFonts w:ascii="Times New Roman" w:hAnsi="Times New Roman"/>
                <w:color w:val="000000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квартале на заседании комиссии по противодействию коррупции.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Проанализированы личные дела государственных гражданских служащих Республики Татарстан в Агентстве и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отчетный период проведен анализ личных дел всех 22 гражданских служащих Агентства. Конфликт интересов отсутствует. Случаев несоблюдения запретов и ограничений, а также неисполнения обязанностей, установленных в целях противодействия коррупции, не установлено.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Значения индикаторов по мероприятию – 100%</w:t>
            </w:r>
          </w:p>
        </w:tc>
      </w:tr>
      <w:tr>
        <w:trPr>
          <w:trHeight w:val="99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1.5.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Проведены проверки соблюдения государственными гражданскими служащими Республики Татарстан в Агентстве требований к служебному поведению, ограничений и запретов, предусмотренных законодательством о государственной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отчетном периоде лицом, ответственным за профилактику коррупционных и иных правонарушений, проведен анализ соблюдения государственными служащими Агентства требований к служебному поведению, ограничений и запретов, предусмотренных законодательством о государственной службе, оснований для проведения проверки соблюдения государственными гражданскими служащими Агентства требований к служебному поведению не выявлено.</w:t>
            </w:r>
          </w:p>
          <w:p>
            <w:pPr>
              <w:spacing w:after="0" w:line="240" w:lineRule="auto"/>
              <w:ind w:firstLine="2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Значения индикаторов по мероприятию – 100%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1.6.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участия лиц, замещающих, должности государственной гражданской службы Республики Татарстан в Агентстве, в управлении коммерческими и некоммерческими организациями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Проверка информации по участию государственных гражданских служащих в управлении коммерческими и некоммерческими организациями осуществляется посредством доступа к открытым базам данных ЕГРЮЛ и ЕГРИП Управления ФНС по РТ. В отчетном периоде нарушений не выявлено.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236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 организациями, подведомственными Агентству, проводится работа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Подведомственные организации, учредителем которых является Агентство, отсутствуют. </w:t>
            </w:r>
          </w:p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1.8.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Утвержден и исполнен годовой план работы комиссии при министре инвестиционного развития Республики Татарстан по противодействию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План работы Комиссии при председателе по противодействию коррупции на 2024 год утвержден 27.12.2023 и размещен на официальном сайте Агентства в разделе «Противодействие коррупции». В отчетный период проведено: 1 заседание Комиссии.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1.9.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За отчетный период меры юридической ответственности к государственным гражданским служащим в Агентстве не применялись ввиду отсутствия оснований.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Выявление и устранение коррупциогенных факторов в проектах нормативных правовых актов Агентства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Агентством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Обеспечены условия для проведения антикоррупционной экспертизы проектов нормативных правовых актов, разработанных Агентством, и обобщены результаты проведения указанной экспертизы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Отдел регистрации нормативных правовых актов и правового обеспечения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Должностным лицом, ответственным за проведение антикоррупционной экспертизы, является ведущий советник отдела правового и кадрового обеспечения Агентства.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 отчетном периоде проведена независимая антикоррупционная экспертиза 5 проектов нормативных правовых актов.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 целях обеспечения возможности проведения независимой антикоррупционной экспертизы проекты нормативных правовых актов, разработанных Агентством, размещаются на официальном сайте Агентства в разделе «Противодействие коррупции» в подразделе «Независимая антикоррупционная экспертиза». За отчетный период заключений от независимых экспертов не поступало.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Значения индикаторов по мероприятию – 100%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состояния коррупции в Агентстве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Проведены исследования коррупционных факторов и реализуемых антикоррупционных мер в сфере деятельности Агентства, опубликованы результаты указанных исследований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Единой государственной системе отчетности «Отчѐты ведомств» информационного портала «Открытый Татарстан» Агентством в установленные сроки размещена информация в отчете «Антикоррупционный мониторинг» за 3 квартал 2024 года.</w:t>
            </w:r>
          </w:p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официальном сайте Агентства в подразделе «Опрос общественного мнения, анкетирование» раздела «Противодействие коррупции» ежегодно в 4 квартале проводится анонимный социологический опрос «Опрос общественного мнения о состоянии коррупции в Агентстве инвестиционного развития Республики Татарстан». 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tabs>
                <w:tab w:val="left" w:pos="5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Осуществлена работа по формированию у сотрудников Агентства и подведомственных ему организаций отрицательного отношения к коррупции, в том числе приняты организационные, разъяснительные и иные меры по соблюдению государственными гражданскими служащими Республики Татарстан в Агентстве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Все государственные гражданские служащие Агентства своевременно ознакомляются с актуальными изменениями законодательства о противодействии коррупции. По состоянию на отчетную дату разъяснения по антикоррупционной тематике и индивидуальные беседы проведены со всеми 22 гражданскими служащими в Агентстве.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Ежеквартально проводятся заседания Комиссии при председателе Агентства по противодействию коррупции, на которых рассматриваются отчеты о реализации ведомственной антикоррупционной программы Агентства и иные актуальные вопросы.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Общественный совет при Агентстве состоит из 17 человек. Представители Общественного совета принимают активное участие в работе Агентства, участвуют в заседаниях коллегий, являются членами комиссии по оценке профессионального уровня кандидатов на замещение вакантных должностей государственной гражданской службы, аттестационной комиссии, комиссии по урегулированию конфликта интересов и комиссии по противодействию коррупции в Агентстве. В отчетный период проведено 1 совместное, расширенное заседание.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Значения индикаторов по мероприятию – 100%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 заседаниях Общественного совета при Агентстве инвестиционного развития Республике Татарстан рассмотрены отчеты о реализации программы противодействия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Ответственное лицо за работу по профилактике коррупционных и иных правонарушений в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Ежеквартально проводятся совместные, расширенные заседания Комиссии при председателе Агентства по противодействию коррупции и Общественного совета при Агентстве, на которых рассматриваются отчеты о реализации ведомственной антикоррупционной программы Агентства и иные актуальные вопросы.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состоянию на отчетную дату разъяснения по антикоррупционной тематике и индивидуальные беседы проведены со всеми 22 гражданскими Агентства.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Значения индикаторов по мероприятию – 100%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Обеспечение открытости, доступности для граждан деятельности Агентства, взаимодействие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Обеспечено функционирование в Агентстве телефона доверия, горячей линии, интернет-приемной,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uppressAutoHyphens/>
              <w:spacing w:after="0" w:line="240" w:lineRule="auto"/>
              <w:ind w:firstLine="23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 официальном сайте Агентства в подразделе «Обратная связь для сообщений о фактах коррупции» для граждан размещены:</w:t>
            </w:r>
          </w:p>
          <w:p>
            <w:pPr>
              <w:widowControl w:val="0"/>
              <w:suppressAutoHyphens/>
              <w:spacing w:after="0" w:line="240" w:lineRule="auto"/>
              <w:ind w:firstLine="23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«Телефон доверия» для сообщений о проявлениях коррупции в Агентстве; </w:t>
            </w:r>
          </w:p>
          <w:p>
            <w:pPr>
              <w:widowControl w:val="0"/>
              <w:suppressAutoHyphens/>
              <w:spacing w:after="0" w:line="240" w:lineRule="auto"/>
              <w:ind w:firstLine="23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обновленный «Опрос общественного мнения, анкетирование», позволяющие гражданам и организациям сообщать о фактах коррупции в Агентстве, причинах и условиях, способствующих их совершению;</w:t>
            </w:r>
          </w:p>
          <w:p>
            <w:pPr>
              <w:widowControl w:val="0"/>
              <w:suppressAutoHyphens/>
              <w:spacing w:after="0" w:line="240" w:lineRule="auto"/>
              <w:ind w:firstLine="23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результаты рассмотрения сообщений и обращений граждан, поступивших на «телефон доверия» и в интернет-приемную о проявлениях коррупции в Агентстве.</w:t>
            </w:r>
          </w:p>
          <w:p>
            <w:pPr>
              <w:widowControl w:val="0"/>
              <w:suppressAutoHyphens/>
              <w:spacing w:after="0" w:line="240" w:lineRule="auto"/>
              <w:ind w:firstLine="23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Функционирует раздел «Интернет-приемная», где граждане могут оставлять электронные сообщения. </w:t>
            </w:r>
          </w:p>
          <w:p>
            <w:pPr>
              <w:widowControl w:val="0"/>
              <w:suppressAutoHyphens/>
              <w:spacing w:after="0" w:line="240" w:lineRule="auto"/>
              <w:ind w:firstLine="23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 начала 2024 года обращения от граждан и организаций о фактах проявления коррупции среди служащих Агентства в Агентство, а также представителям Общественного совета при Агентстве не поступали.</w:t>
            </w:r>
          </w:p>
          <w:p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5.2.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информации о коррупционных проявлениях в деятельности должностных лиц Агентства,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инвестиционного развития Республики Татарстан по противодействию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before="0" w:after="0"/>
              <w:rPr>
                <w:b w:val="0"/>
              </w:rPr>
            </w:pPr>
            <w:r>
              <w:rPr>
                <w:b w:val="0"/>
                <w:sz w:val="22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 Агентстве осуществляется работа по проведению мониторинга информации о коррупционных проявлениях в деятельности должностных лиц Агентства, размещенной в средствах массовой информации и содержащейся в поступающих обращениях граждан и юридических лиц.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По итогам отчетного периода, при анализе обращений граждан и организаций, а также публикаций СМИ факта коррупционных нарушений со стороны государственных гражданских служащих Агентства не выявлено.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Оформлены и актуализированы специальный информационный стенд, раздел «Противодействие коррупции» официального сайта Агентства и иные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формы предоставления информации антикоррупционного содержания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Ответственное лицо за работу по профилактике корруп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На первом этаже здания Агентства размещены информационный стенд антикоррупционного содержания и мультимедийный экран, информация на которых обновляется по мере изменения законодательства и под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держивается в актуальном состоянии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обращений граждан о проявлениях коррупции в сфере деятельности Агентства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Обращений  о коррупционных проявлениях в сфере деятельности Агентства не поступало.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нужд Агентства и аппаратов мировых судей Республики Татарстан, повышение эффективности использования государственного имущества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Реализованы меры, способствующие снижению уровня коррупции при осуществлении закупок товаров (работ, услуг) для нужд Агентства и аппаратов мировых судей Республики Татарстан, в том числе проведены мероприятия по обеспечению открытости и доступности осуществляемых закупок, а также реализованы меры по обеспечению прав и законных интересов участников закупок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a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закупок проводится в строгом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нужд». Информация о проведении закупок является прозрачной, общедоступной и размещается в Единой информационной системе в сфере закупок.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целях создания конкурентных условий, открытости закупок, а также в соответствии с законодательством все заказчики обязаны опубликовать план-графики размещения заказа в Единой информационной системе в сфере закупок. Кроме того, в целях усиления общественного контроля в сфере закупок план-график продублирован на официальном сайте Агентства в разделе «Участие в государственном заказе».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 ведомственный контроль за закупками подведомственных Агентству организаций, проводимыми в соответствии с федеральными законами от 18 июля 2011 года № 223-ФЗ «О закупках товаров, работ, услуг отдельными видами юридических лиц», от 5 апреля 2013 года № 44-ФЗ 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Подведомственные организации, учредителем которых является Агентство, отсутствуют.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>
      <w:pPr>
        <w:widowControl w:val="0"/>
        <w:spacing w:after="0" w:line="240" w:lineRule="auto"/>
        <w:rPr>
          <w:rFonts w:ascii="Times New Roman" w:eastAsiaTheme="minorEastAsia" w:hAnsi="Times New Roman" w:cs="Times New Roman"/>
          <w:szCs w:val="24"/>
          <w:highlight w:val="cyan"/>
          <w:lang w:eastAsia="ru-RU"/>
        </w:rPr>
      </w:pPr>
    </w:p>
    <w:sectPr>
      <w:headerReference w:type="first" r:id="rId8"/>
      <w:footnotePr>
        <w:numFmt w:val="chicago"/>
        <w:numRestart w:val="eachPage"/>
      </w:footnotePr>
      <w:pgSz w:w="16838" w:h="11906" w:orient="landscape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64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f6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3" w15:restartNumberingAfterBreak="0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22"/>
  </w:num>
  <w:num w:numId="5">
    <w:abstractNumId w:val="21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18"/>
  </w:num>
  <w:num w:numId="11">
    <w:abstractNumId w:val="19"/>
  </w:num>
  <w:num w:numId="12">
    <w:abstractNumId w:val="20"/>
  </w:num>
  <w:num w:numId="13">
    <w:abstractNumId w:val="7"/>
  </w:num>
  <w:num w:numId="14">
    <w:abstractNumId w:val="11"/>
  </w:num>
  <w:num w:numId="15">
    <w:abstractNumId w:val="14"/>
  </w:num>
  <w:num w:numId="16">
    <w:abstractNumId w:val="6"/>
  </w:num>
  <w:num w:numId="17">
    <w:abstractNumId w:val="5"/>
  </w:num>
  <w:num w:numId="18">
    <w:abstractNumId w:val="8"/>
  </w:num>
  <w:num w:numId="19">
    <w:abstractNumId w:val="0"/>
  </w:num>
  <w:num w:numId="20">
    <w:abstractNumId w:val="16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76F19-80C7-4934-960D-C7DF2E6B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Pr>
      <w:sz w:val="20"/>
      <w:szCs w:val="20"/>
    </w:rPr>
  </w:style>
  <w:style w:type="table" w:customStyle="1" w:styleId="13">
    <w:name w:val="Сетка таблицы1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table" w:customStyle="1" w:styleId="43">
    <w:name w:val="Сетка таблицы4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Pr>
      <w:sz w:val="20"/>
      <w:szCs w:val="20"/>
    </w:rPr>
  </w:style>
  <w:style w:type="character" w:styleId="afd">
    <w:name w:val="endnote reference"/>
    <w:basedOn w:val="a0"/>
    <w:uiPriority w:val="99"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e">
    <w:name w:val="List Paragraph"/>
    <w:basedOn w:val="a"/>
    <w:uiPriority w:val="1"/>
    <w:qFormat/>
    <w:pPr>
      <w:ind w:left="720"/>
      <w:contextualSpacing/>
    </w:p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table" w:customStyle="1" w:styleId="53">
    <w:name w:val="Сетка таблицы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 светлая1"/>
    <w:basedOn w:val="a1"/>
    <w:uiPriority w:val="4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62">
    <w:name w:val="Сетка таблицы6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age number"/>
    <w:basedOn w:val="a0"/>
    <w:uiPriority w:val="99"/>
    <w:rPr>
      <w:rFonts w:cs="Times New Roman"/>
    </w:r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11"/>
    <w:qFormat/>
    <w:pPr>
      <w:numPr>
        <w:ilvl w:val="1"/>
      </w:numPr>
    </w:pPr>
    <w:rPr>
      <w:rFonts w:eastAsiaTheme="minorEastAsia" w:cs="Times New Roman"/>
      <w:color w:val="5A5A5A"/>
      <w:spacing w:val="15"/>
    </w:rPr>
  </w:style>
  <w:style w:type="character" w:customStyle="1" w:styleId="aff4">
    <w:name w:val="Подзаголовок Знак"/>
    <w:basedOn w:val="a0"/>
    <w:link w:val="aff3"/>
    <w:uiPriority w:val="11"/>
    <w:rPr>
      <w:rFonts w:eastAsiaTheme="minorEastAsia" w:cs="Times New Roman"/>
      <w:color w:val="5A5A5A"/>
      <w:spacing w:val="15"/>
    </w:rPr>
  </w:style>
  <w:style w:type="paragraph" w:styleId="aff5">
    <w:name w:val="Body Text"/>
    <w:basedOn w:val="a"/>
    <w:link w:val="aff6"/>
    <w:uiPriority w:val="1"/>
    <w:qFormat/>
    <w:pPr>
      <w:widowControl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rmal (Web)"/>
    <w:basedOn w:val="a"/>
    <w:uiPriority w:val="99"/>
    <w:pPr>
      <w:spacing w:after="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</w:style>
  <w:style w:type="character" w:styleId="aff8">
    <w:name w:val="Strong"/>
    <w:basedOn w:val="a0"/>
    <w:uiPriority w:val="22"/>
    <w:qFormat/>
    <w:rPr>
      <w:b/>
      <w:bCs/>
    </w:rPr>
  </w:style>
  <w:style w:type="paragraph" w:customStyle="1" w:styleId="17">
    <w:name w:val="Без интервала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799F2-AF87-4F48-807B-50DF4146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Узбеков Шамиль Мохаммядиевич</cp:lastModifiedBy>
  <cp:revision>2</cp:revision>
  <cp:lastPrinted>2024-01-17T13:34:00Z</cp:lastPrinted>
  <dcterms:created xsi:type="dcterms:W3CDTF">2025-04-28T12:53:00Z</dcterms:created>
  <dcterms:modified xsi:type="dcterms:W3CDTF">2025-04-28T12:53:00Z</dcterms:modified>
</cp:coreProperties>
</file>