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об исполнении комплекса процессных мероприятий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«Совершенствование антикоррупционной политики Республики Татарстан»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Агентством инвестиционного развития Республики Татарстан за 2025 год</w:t>
      </w:r>
    </w:p>
    <w:p>
      <w:pPr>
        <w:spacing w:after="0" w:line="240" w:lineRule="auto"/>
        <w:jc w:val="center"/>
      </w:pP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>
        <w:trPr>
          <w:trHeight w:val="276"/>
          <w:tblHeader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02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пункта / наименование мероприятия</w:t>
            </w:r>
          </w:p>
        </w:tc>
        <w:tc>
          <w:tcPr>
            <w:tcW w:w="23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</w:t>
            </w:r>
          </w:p>
        </w:tc>
      </w:tr>
      <w:tr>
        <w:trPr>
          <w:trHeight w:val="276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/>
          <w:sz w:val="2"/>
          <w:szCs w:val="2"/>
        </w:rPr>
      </w:pPr>
    </w:p>
    <w:tbl>
      <w:tblPr>
        <w:tblW w:w="15948" w:type="dxa"/>
        <w:tblLayout w:type="fixed"/>
        <w:tblLook w:val="04A0" w:firstRow="1" w:lastRow="0" w:firstColumn="1" w:lastColumn="0" w:noHBand="0" w:noVBand="1"/>
      </w:tblPr>
      <w:tblGrid>
        <w:gridCol w:w="647"/>
        <w:gridCol w:w="10262"/>
        <w:gridCol w:w="2341"/>
        <w:gridCol w:w="2698"/>
      </w:tblGrid>
      <w:tr>
        <w:trPr>
          <w:tblHeader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>
        <w:trPr>
          <w:trHeight w:val="343"/>
        </w:trP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napToGrid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1. Совершенствование инструментов и механизмов, в том числе правовых и организационных, противодействия коррупции</w:t>
            </w:r>
          </w:p>
          <w:p>
            <w:pPr>
              <w:widowControl w:val="0"/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rPr>
          <w:trHeight w:val="10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1.1. Разработка и актуализация нормативных правовых актов о противодействии коррупции во исполнение федерального законодательства и на основе обобщения практики применения действующих антикоррупционных норм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Агентством инвестиционного развития Республики Татарстан за истекший период в 2025 году издан Приказ от 09.06.2025 № 14 «Об утверждении Перечня должностей Государственной гражданской службы Республики Татарстан в Агентстве инвестиционного развития Республики Татарстан, замещение которых связано с коррупционными рисками,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сведения о до-ходах, расходах, об имуществе и обязательствах имущественного характера своих супруги (супруга) и несовершеннолетних детей»</w:t>
            </w:r>
          </w:p>
        </w:tc>
      </w:tr>
      <w:tr>
        <w:trPr>
          <w:trHeight w:val="1631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1.2. Функционирование подразделений органов публичной власти в Республике Татарстан по профилактике коррупционных и иных правонарушений (должностных лиц кадровых служб, ответственных за работу по профилактике коррупционных и иных правонарушений (с освобождением от иных функций, не относящихся к антикоррупционной работе)) в соответствии с </w:t>
            </w:r>
            <w:hyperlink r:id="rId7" w:anchor="/document/196300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Российской Федерации № 1065 и </w:t>
            </w:r>
            <w:hyperlink r:id="rId8" w:anchor="/document/8166002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Указом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Президента Республики Татарстан № УП-711, соблюдение принципа стабильности кадров, осуществляющих вышеуказанные функции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Приказом Агентства от 16.09.2024 № 29/2 «О назначении ответственного лица по предупреждению коррупционных правонарушений, за работу ко-миссии при Руководителе Агентства инвестиционного развития Республики Татарстан по противодействию коррупции, за работу комиссии по соблюдению требований к служебному поведению государственных гражданских служащих Республики Татарстан и урегулированию конфликта интересов Агентства инвестиционного развития Республики Татарстан, за работу Общественного совета при Агентстве инвестиционного развития Республики Татарстан» ответственным лицом за работу по профилактике коррупционных и иных правонарушений назначен ведущий советник отдела правового и документационного обеспечения Агентства Узбеков Шамиль Мохаммядиевич.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 отчетный период лицом, ответственным за работу по профилактике коррупционных и иных правонарушений, предоставлены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-опасного поведения.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11 марта 2025 года для сотруд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ников Агентства был организован семинар-обучение по порядку заполнения и представления государственными гражданскими служащими сведений о доходах, расходах, об имуществе и обязательствах имущественного характера в 2025 году (за 2024 год), в том числе с использованием программы «Справки БК».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 апреля 2025 была завершена подача сведений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государственных служащих Агентства в рамках декларационной кампании.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1.3. Оценка коррупционных рисков, возникающих при реализации государственными гражданскими служащими Республики Татарстан, муниципальными служащими в Республике Татарстан функций, и внесение (при необходимости) уточнений в перечни должностей государственной гражданской службы Республики Татарстан, муниципальной службы в Республике Татарстан, замещение которых связано с коррупционными рисками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связи с внесением изменений в постановление Кабинета Министров Республики Татарстан от 6 июня 2011 г. № 460 «Вопросы Агентства инвестиционного развития Республики Татарстан» и увеличением штатной численности Агентства и формированием нового отдела, а также в соответствии с приказом Агентства от 19.06.2025 № 14 в Агентстве определено 26 должностей государственной службы, замещение которых связано с коррупционными рисками. 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1.4. Анализ личных дел государственных гражданских служащих Республики Татарстан, муниципальных служащих в Республике Татарстан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На постоянной основе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ведется  анализ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личных  дел  государственных  гражданских  служащих и актуализация сведений, содержащихся в анкетах, представляемых  при  поступлении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на  такую  службу,  об  их  родственниках и  свойственниках (супругах своих братьев и сестер и о братьях и сестрах своих супругов), в целях выявления  возможного  конфликта интересов. В 2025 году конфликт интересов не выявлен.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1.5. Проведение проверок по соблюдению государственными гражданскими служащими Республики Татарстан требований к служебному поведению, предусмотренных законодательством о государственной службе, и муниципальными служащими Республики Татарстан ограничений и запретов, предусмотренных законодательством о муниципальной службе, в том числе на предмет участия в предпринимательской деятельности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 отчетный период ответственным лицом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профилактике  коррупционных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и иных  правонарушений  проведена работа по проверке государственных гражданских  служащих  на предмет участия в деятельности коммерческих  организаций  по программе ЕГРИП и ЕГРЮЛ. За отчетный период нарушения отсутствуют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1.7. Проведение мониторинга участия лиц, замещающих государственные должности Республики Татарстан, муниципальные должности, должности государственной гражданской службы Республики Татарстан, должности муниципальной службы в Республике Татарстан, в управлении коммерческими и некоммерческими организациями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Ведущим советником отдела правового и документационного обеспечения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Узбековым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Ш.М. ежеквартально осуществляется мониторинг участия государственных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гражданских  служащих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 Республики Татарстан на предмет участия  в  деятельности  и управлении  коммерческими  и некоммерческими  организациями. В отчетный период нарушений не установлено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1.8. Проведение работы в целях обеспечения соблюдения обязанности принимать меры, предусмотренные положениями </w:t>
            </w:r>
            <w:hyperlink r:id="rId9" w:anchor="/document/12164203/entry/133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статьи 13.3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Федерального закона от 25 декабря 2008 года № 273-ФЗ «О противодействии коррупции», по предупреждению коррупции, в том числе по выявлению, предотвращению и урегулированию конфликта интересов с организациями, подведомственными органам публичной власти в Республике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Организации, подведомственные Агентству, в настоящее время отсутствуют.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1.9. Утверждение и исполнение годовых планов работ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0"/>
              <w:widowControl w:val="0"/>
              <w:spacing w:after="0" w:line="240" w:lineRule="auto"/>
            </w:pPr>
            <w:bookmarkStart w:id="1" w:name="p_399023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ганы местного самоуправления</w:t>
            </w:r>
          </w:p>
          <w:p>
            <w:pPr>
              <w:pStyle w:val="a0"/>
              <w:widowControl w:val="0"/>
              <w:spacing w:after="0"/>
            </w:pPr>
            <w:bookmarkStart w:id="2" w:name="p_399024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План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работы  Комиссии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по  противодействию коррупции при  руководителе Агентства инвестиционного развития Республики Татарстан на 2025 год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утвержден 27.12.2024 Комиссией по  противодействию коррупции при  руководителе Агентства инвестиционного развития Республики Татарстан. В отчетном периоде заседания Комиссии состоялись 13.03.2025, 17.06.2025, 26.09.2025 и 25.12.2025.</w:t>
            </w:r>
          </w:p>
        </w:tc>
      </w:tr>
      <w:t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Задача 2. Выявление и устранение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факторов в нормативных правовых актах и проектах нормативных правовых актов посредством проведения антикоррупционной экспертизы</w:t>
            </w:r>
          </w:p>
        </w:tc>
      </w:tr>
      <w:t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9"/>
              <w:spacing w:line="228" w:lineRule="auto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 xml:space="preserve"> 2.1. Обеспечение условий для проведения антикоррупционной экспертизы нормативных правовых актов и проектов нормативных правовых актов и обобщение результатов проведения указанной экспертизы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line="228" w:lineRule="auto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юстиции Республики Татарстан,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Антикоррупционная экспертиза нормативных правовых актов и проектов нормативных правовых актов Агентства проводится в соответствии с Правилами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г. № 96 «Об антикоррупционной экспертизе нормативных правовых актов и проектов нормативных правовых актов», Порядком  проведения  антикоррупционной  экспертизы  отдельных нормативных правовых актов и проектов нормативных правовых актов, утвержденным Постановлением Кабинета Министров Республики Татарстан от 24.12.2009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№ 883. Ответственным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лицом  за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проведение  антикоррупционной экспертизы нормативных правовых актов и их проектов определен ведущий советник отдела правового и документационного обеспечения Узбеков Ш.М..</w:t>
            </w: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На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официальный  портал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Республики Татарстан http://tatarstan.ru/regulation,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определенный  для  размещения проектов  нормативных  правовых  актов  органов 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государ-ственной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власти Республики Татарстан для проведения их не-зависимой антикоррупционной экспертизы и общественного обсуждения, в отчётный период было размещено 19 норматив-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правовых актов. В ходе проведения антикоррупционной экспертизы проектов нормативных правовых актов, разработанных Агентством за </w:t>
            </w: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коррупциогенных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факторов не выявлено, заключений от независимых экспертов не поступало.</w:t>
            </w:r>
          </w:p>
        </w:tc>
      </w:tr>
      <w:tr>
        <w:tc>
          <w:tcPr>
            <w:tcW w:w="15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Задача 3. 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af9"/>
              <w:ind w:left="-57" w:right="-57"/>
              <w:jc w:val="both"/>
            </w:pPr>
            <w:r>
              <w:rPr>
                <w:rFonts w:ascii="Times New Roman" w:hAnsi="Times New Roman" w:cs="Times New Roman"/>
                <w:color w:val="000000"/>
              </w:rPr>
              <w:t>3.7. Осуществление работы по формированию у государственных гражданских служащих Республики Татарстан, муниципальных служащих в Республике Татарстан, работников органов публичной власти в Республике Татарстан, государственных и муниципальных организаций отрицательного отношения к коррупции, в том числе принятие организационных, разъяснительных и иных мер по соблюдению государственными гражданскими служащими Республики Татарстан, муниципальными служащими в Республике Татарстан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ind w:left="-57" w:right="-57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отчетном периоде проводились профилактические беседы с государственными гражданскими служащими.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Сотрудникам при увольнении с государственной гражданской службы выдается памятка о запретах, установленных для гражданина после увольнения его с гражданской службы. За </w:t>
            </w:r>
            <w:r>
              <w:rPr>
                <w:rFonts w:ascii="Times New Roman" w:hAnsi="Times New Roman"/>
                <w:sz w:val="18"/>
                <w:szCs w:val="18"/>
              </w:rPr>
              <w:t>2025 год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данная памятка выдана 11 уволившимся сотрудникам.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целях профилактики коррупционных и иных правонарушений, формирования у работников Агентства отрицательного отношения к коррупции, в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2025 году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реализовывались, в том числе, мероприятия, предусмотренные Программой Агентства по реализации антикоррупционной политики на 2024-2027 годы. 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 обязательном порядке прово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дится работа с гражданами, поступающими на государственную службу, по ознакомлению с требованиями действующего законодательства о государственной службе и противодействию коррупции.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Информация антикоррупционной направленности до сведения сотрудников Агентства доводится посредством электронного документооборота, размещения информации на официальном сайте Агентства, информационном стенде, электронной почты.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2025 году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лицом, ответственным за работу по профилактике коррупционных и иных правонарушений, предоставлялись разъяснения государственным гражданским служащим Агентства по соблюдению ограничений, запретов, исполнению обязанностей, установленных в целях противодействия коррупции, принятию мер по предотвращению и урегулированию конфликта интересов, недопущению в своей деятельности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коррупционно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опасного поведения.</w:t>
            </w:r>
          </w:p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Кроме того, на регулярной основе проводятся аппаратные совещания Агентства, в повестку дня которых включается вопрос по соблюдению государственными гражданскими служащими ограничений, запретов и по исполнению обязанностей, установленных в целях противодействия коррупции, в том числе ограничений, касающихся дарения и получения подарков.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0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3.8. Рассмотрение отчетов о реализации программ противодействия коррупции 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 заседаниях общественных советов органов публичной власти Республики Татарстан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Приказом Агентства от 20.12.2016 № 46 утверждено Положение об Общественном совете при Агентстве инвестиционного развития Республики Татарстан. Состав Общественного совета при Агентстве утвержден приказом Агентства от 05.04.2024 № 15.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Агентство  обеспечивает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организационно-техническую поддержку Общественного совета при Агентстве, представители которого участвуют в работе совещаний и за-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седаний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коллегии, работают в составе антикоррупционной комиссии, комиссии по соблюдению требований к служебному поведению и конкурсных комиссий Агентства. 14.03.2025 на заседании Общественного совета при Агентстве был рассмотрен вопрос о реализации мер антикоррупционной политики.</w:t>
            </w:r>
          </w:p>
        </w:tc>
      </w:tr>
      <w:tr>
        <w:trPr>
          <w:trHeight w:val="594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4. Обеспечение открытости, доступности для населения деятельности органов публичной власти в Республике Татарстан,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4.2. Обеспечение функционирования в органах публичной власти в Республике Татарстан телефонов доверия, горячих линий, интернет-приемных,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  официальном  сайте  Агентства ведется и поддерживается в актуальном состоянии раздел  «Противодействие  коррупции»  с  соответствующими подразделами, в которых отражаются  результаты  антикоррупционной деятельности Агентства  в  соответствии  с Едиными требованиями, предъявляемыми  к  официальным сайтам  исполнительных  органов  государственной  власти Республики  Татарстан  в  ин-формационно-телекоммуникационной  сети «Интернет»  по  вопросам  противодействия кор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рупции, установленными  Постановлением Кабинета Министров РТ от 04.04.2013 № 225. В Агентстве организована работа «телефона доверия» для сообщений о проявлениях коррупции. За отчетный период сообщений о  коррупционных  правонарушениях на  «телефон доверия» не поступало. Также  функционирует  «Ящик доверия»,  который  установлен в фойе главного здания. На официальном сайте функционирует  общественная интернет-приемная,   позволяющая гражданам сообщать о ставших  известными им фактах коррупции, причинах и условиях, способствующих их совершению. За отчетный период информация не поступала.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4.3. Проведение мониторинга информации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комиссий при руководителях республиканских органов исполнительной власти по противодействию коррупции, комиссий по координации работы по противодействию коррупции в муниципальных районах и городских округах Республики Татарстан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Пресс-службой Агентства осуществляется регулярный мониторинг информации о коррупционных проявлениях, содержащейся в средствах массовой информации, в сети «Интернет», обращениях граждан и юридических лиц. Агентство ведет активную работу с различными формами СМИ (печатными изданиями, сетевыми изданиями, телеканалами и др.).    На официальном сайте Агентства, в подразделе «Интернет приемная» раздела «Обращения граждан», имеется возможность для граждан сообщать о фактах коррупционных проявлений. За отчетный период информации коррупционной направленности не выявлено.</w:t>
            </w:r>
          </w:p>
        </w:tc>
      </w:tr>
      <w:tr>
        <w:trPr>
          <w:trHeight w:val="851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4.4. Оформление и актуализация специальных информационных стендов, разделов «Противодействие коррупции» официальных сайтов органов публичной власти в Республике Татарстан и иные формы предоставления информации антикоррупционного содержания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В фойе 1 этажа здания Агентства размещен информационный стенд «Противодействие коррупции», на котором размещена антикоррупционная программа, информационные материалы о противодействии коррупции. Стенд «Противодействие коррупции» обновляется по мере внесения изменений в антикоррупционное законодательство.</w:t>
            </w:r>
          </w:p>
        </w:tc>
      </w:tr>
      <w:tr>
        <w:trPr>
          <w:trHeight w:val="636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5. Обеспечение открытости, добросовестной конкуренции и объективности при осуществлении закупок товаров, работ, услуг для обеспечения государственных и муниципальных нужд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5.2. Реализация мер, способствующих снижению уровня коррупции при осуществлении закупок товаров (работ, услуг) для государственных и муниципальных нужд, в том числе проведены мероприятия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Государственные  закупки  осу-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ществляются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соответствии с Федеральным  законом  от  05 апреля 2013 года № 44-ФЗ «О контрактной  системе  в  сфере закупок  товаров,  работ,  услуг для обеспечения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государствен-ных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муниципальных нужд». План-график закупок размещается на главной странице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офи-циального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сайта  Российской Федерации  в  «Единой 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инфор-мационной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 системе  в  сфере закупок» в сети интернет. Информация о закупках, в том числе  и  отчет  о  результатах исполнения  контракта,  публикуется на официальном сайте.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5.3. Осуществление ведомственного контроля за закупками подведомственных республиканским органам исполнительной власти организаций, проводимыми в соответствии с Федеральными законами </w:t>
            </w:r>
            <w:hyperlink r:id="rId10" w:anchor="/document/1218808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18 июля 2011 года № 223-ФЗ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закупках товаров, работ, услуг отдельными видами юридических лиц», </w:t>
            </w:r>
            <w:hyperlink r:id="rId11" w:anchor="/document/70353464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от 5 апреля 2013 года № 44-ФЗ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«О контрактной системе в сфере закупок товаров, работ, услуг для обеспечения государственных и муниципальных нужд», в целях недопущения возникновения конфликта интересов, выявления и минимизации коррупционных рисков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имеющие подведомственные организации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Организации, подведомственные Агентству, в настоящее время отсутствуют.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5.4. Проведение анализа характеристик закупаемых товаров, работ, услуг в целях устранения условий, ограничивающих конкуренцию, а также обоснованности формирования начальной максимальной цены контрактов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Закупка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товаров,  работ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 услуг для  нужд  Агентством осуществляется в соответствии с Федеральным законом от 05.04.2013 № 44-ФЗ «О контрактной  системе  в  сфере закупок  товаров,  работ,  услуг для обеспечения государственных и муниципальных нужд». Обоснование начальной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максимальной  цены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контракта  про-водится методом сопоставимых рыночных  цен.  Запросы на коммерческие   предложения направляются  на  электронную почту  поставщиков.  Изучение цен  происходит  с  помощью интернет ресурса.</w:t>
            </w:r>
          </w:p>
        </w:tc>
      </w:tr>
      <w:tr>
        <w:trPr>
          <w:trHeight w:val="40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6. Последовательное снижение административного давления на предпринимательство (бизнес-структуры)</w:t>
            </w:r>
          </w:p>
        </w:tc>
      </w:tr>
      <w:tr>
        <w:trPr>
          <w:trHeight w:val="443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7. Повышение эффективности взаимодействия органов государственной власти Республики Татарстан с правоохранительными органами</w:t>
            </w:r>
          </w:p>
        </w:tc>
      </w:tr>
      <w:tr>
        <w:trPr>
          <w:trHeight w:val="407"/>
        </w:trPr>
        <w:tc>
          <w:tcPr>
            <w:tcW w:w="1594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Задача 8. Усиление мер по минимизации бытовой коррупции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8.4. Проведение мониторинга обращений граждан о проявлениях коррупции в социально-экономических отраслях жизнедеятельности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При проведении мониторинга обращений граждан в Агентство    проявления коррупции   в   социально-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экономических  отраслях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жизнедеятельности не выявлены. Результаты  опроса  общественного мнения о состоянии коррупции ежегодно размещаются на сайте Агентства (</w:t>
            </w:r>
            <w:hyperlink r:id="rId12" w:history="1">
              <w:r>
                <w:rPr>
                  <w:rStyle w:val="af"/>
                  <w:rFonts w:ascii="Times New Roman" w:hAnsi="Times New Roman"/>
                  <w:sz w:val="18"/>
                  <w:szCs w:val="18"/>
                </w:rPr>
                <w:t>https://tida.tatarstan.ru/anticor/oprosobsh.htm</w:t>
              </w:r>
            </w:hyperlink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). </w:t>
            </w: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8.8. Осуществление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 отчетный период случаев несоблюдения запретов, ограничений и требований, установленных в целях противодействия коррупции, не установлено. </w:t>
            </w:r>
          </w:p>
          <w:p>
            <w:pPr>
              <w:widowControl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>
        <w:trPr>
          <w:trHeight w:val="1533"/>
        </w:trPr>
        <w:tc>
          <w:tcPr>
            <w:tcW w:w="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0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8.9. Осуществление контроля за соблюдением лицами, замещающими должности государственной гражданской службы Республики Татарстан и муниципальной службы в Республике Татарстан, требований </w:t>
            </w:r>
            <w:hyperlink r:id="rId13" w:anchor="/document/12164203/entry/0" w:history="1">
              <w:r>
                <w:rPr>
                  <w:rStyle w:val="af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>законодательства</w:t>
              </w:r>
            </w:hyperlink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3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Республиканские органы исполнительной власти, органы местного самоуправления (по согласованию)</w:t>
            </w:r>
          </w:p>
        </w:tc>
        <w:tc>
          <w:tcPr>
            <w:tcW w:w="2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Случаи возникновения конфликта интересов на государственной службе за отчетный период не выявлены.</w:t>
            </w:r>
          </w:p>
        </w:tc>
      </w:tr>
    </w:tbl>
    <w:p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>
      <w:headerReference w:type="default" r:id="rId14"/>
      <w:headerReference w:type="first" r:id="rId15"/>
      <w:pgSz w:w="16838" w:h="11906" w:orient="landscape"/>
      <w:pgMar w:top="709" w:right="567" w:bottom="1134" w:left="567" w:header="567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0495" cy="172720"/>
              <wp:effectExtent l="0" t="0" r="0" b="0"/>
              <wp:wrapSquare wrapText="largest"/>
              <wp:docPr id="1" name="Врезка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0495" cy="172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afc"/>
                          </w:pP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noProof/>
                              <w:color w:val="000000"/>
                              <w:sz w:val="24"/>
                              <w:szCs w:val="24"/>
                            </w:rPr>
                            <w:t>12</w:t>
                          </w:r>
                          <w:r>
                            <w:rPr>
                              <w:rStyle w:val="af1"/>
                              <w:rFonts w:ascii="Times New Roman" w:hAnsi="Times New Roman"/>
                              <w:color w:val="000000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2520" tIns="2520" rIns="2520" bIns="252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Врезка1" o:spid="_x0000_s1026" style="position:absolute;margin-left:0;margin-top:.05pt;width:11.85pt;height:13.6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" o:allowincell="f" filled="f" stroked="f" strokeweight="0">
              <v:path arrowok="t"/>
              <v:textbox inset=".07mm,.07mm,.07mm,.07mm">
                <w:txbxContent>
                  <w:p>
                    <w:pPr>
                      <w:pStyle w:val="afc"/>
                    </w:pP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Style w:val="af1"/>
                        <w:rFonts w:ascii="Times New Roman" w:hAnsi="Times New Roman"/>
                        <w:noProof/>
                        <w:color w:val="000000"/>
                        <w:sz w:val="24"/>
                        <w:szCs w:val="24"/>
                      </w:rPr>
                      <w:t>12</w:t>
                    </w:r>
                    <w:r>
                      <w:rPr>
                        <w:rStyle w:val="af1"/>
                        <w:rFonts w:ascii="Times New Roman" w:hAnsi="Times New Roman"/>
                        <w:color w:val="000000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495C"/>
    <w:multiLevelType w:val="multilevel"/>
    <w:tmpl w:val="0AAE09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074C6C"/>
    <w:multiLevelType w:val="multilevel"/>
    <w:tmpl w:val="1870C2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03DA91-537E-43B6-B8DF-9BC6C0DC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styleId="af5">
    <w:name w:val="Title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qFormat/>
    <w:pPr>
      <w:ind w:left="720"/>
      <w:contextualSpacing/>
    </w:pPr>
    <w:rPr>
      <w:rFonts w:eastAsia="Times New Roman"/>
    </w:rPr>
  </w:style>
  <w:style w:type="paragraph" w:styleId="aff2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3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4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5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6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7">
    <w:name w:val="annotation subject"/>
    <w:basedOn w:val="aff6"/>
    <w:next w:val="aff6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  <w:bCs/>
    </w:rPr>
  </w:style>
  <w:style w:type="paragraph" w:customStyle="1" w:styleId="affa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0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3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23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30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1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2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1127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5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3217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6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3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68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8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8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6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8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4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6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85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7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8631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7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6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2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2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91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4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4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07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192639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35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63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5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05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2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2982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4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0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9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72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4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1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82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7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2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1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3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37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3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85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4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1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5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13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tida.tatarstan.ru/anticor/oprosobsh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2026</TotalTime>
  <Pages>12</Pages>
  <Words>3421</Words>
  <Characters>19504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dc:description/>
  <cp:lastModifiedBy>Узбеков Шамиль Мохаммядиевич</cp:lastModifiedBy>
  <cp:revision>46</cp:revision>
  <cp:lastPrinted>2014-07-16T15:25:00Z</cp:lastPrinted>
  <dcterms:created xsi:type="dcterms:W3CDTF">2024-10-25T08:52:00Z</dcterms:created>
  <dcterms:modified xsi:type="dcterms:W3CDTF">2026-02-17T12:08:00Z</dcterms:modified>
  <dc:language>ru-RU</dc:language>
</cp:coreProperties>
</file>