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5B4C0" w14:textId="2A0125CD" w:rsidR="00FC5B4A" w:rsidRPr="00FC5B4A" w:rsidRDefault="00102277" w:rsidP="00FC5B4A">
      <w:pPr>
        <w:pStyle w:val="Heading1"/>
        <w:spacing w:after="0"/>
        <w:ind w:left="36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FA28EC">
        <w:rPr>
          <w:rFonts w:asciiTheme="minorHAnsi" w:hAnsiTheme="minorHAnsi"/>
          <w:sz w:val="22"/>
        </w:rPr>
        <w:t xml:space="preserve">Приложение № 15 к </w:t>
      </w:r>
      <w:r w:rsidR="00D05CB0">
        <w:rPr>
          <w:rFonts w:asciiTheme="minorHAnsi" w:hAnsiTheme="minorHAnsi" w:cstheme="minorHAnsi"/>
          <w:sz w:val="22"/>
          <w:szCs w:val="22"/>
        </w:rPr>
        <w:t>с</w:t>
      </w:r>
      <w:r w:rsidRPr="00FC5B4A">
        <w:rPr>
          <w:rFonts w:asciiTheme="minorHAnsi" w:hAnsiTheme="minorHAnsi" w:cstheme="minorHAnsi"/>
          <w:sz w:val="22"/>
          <w:szCs w:val="22"/>
        </w:rPr>
        <w:t>оглашению</w:t>
      </w:r>
    </w:p>
    <w:p w14:paraId="7F19E6C8" w14:textId="77777777" w:rsidR="000E1A2E" w:rsidRDefault="00D05CB0" w:rsidP="00FC5B4A">
      <w:pPr>
        <w:spacing w:after="0" w:line="240" w:lineRule="auto"/>
        <w:jc w:val="right"/>
      </w:pPr>
      <w:r>
        <w:t xml:space="preserve">о государственно-частном партнерстве </w:t>
      </w:r>
      <w:r w:rsidR="00FC5B4A">
        <w:t xml:space="preserve">в отношении финансирования, проектирования, строительства, технического обслуживания и эксплуатации объекта здравоохранения – многопрофильного центра медицинской реабилитации пациентов с нарушением функции центральной нервной системы, опорно-двигательного аппарата и периферической нервной системы, сердечно-сосудистой системы и других внутренних органов в г. Казань </w:t>
      </w:r>
    </w:p>
    <w:p w14:paraId="7C8EB575" w14:textId="69305AD7" w:rsidR="00FC5B4A" w:rsidRPr="00A047F6" w:rsidRDefault="00FC5B4A" w:rsidP="00FC5B4A">
      <w:pPr>
        <w:spacing w:after="0" w:line="240" w:lineRule="auto"/>
        <w:jc w:val="right"/>
      </w:pPr>
      <w:r>
        <w:t>Республики Татарстан</w:t>
      </w:r>
    </w:p>
    <w:p w14:paraId="636022E6" w14:textId="566A0384" w:rsidR="00102277" w:rsidRDefault="00102277" w:rsidP="00C6134B">
      <w:pPr>
        <w:pStyle w:val="Heading1"/>
        <w:spacing w:after="120"/>
        <w:ind w:left="360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10227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A27AADE" w14:textId="77777777" w:rsidR="00102277" w:rsidRPr="00102277" w:rsidRDefault="00102277" w:rsidP="00C6134B">
      <w:pPr>
        <w:pStyle w:val="ListParagraph"/>
        <w:spacing w:after="120" w:line="259" w:lineRule="auto"/>
        <w:contextualSpacing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ТРЕБОВАНИЯ К МИНИМАЛЬНОМУ ОБЪЕМУ ОСНОВНЫХ МЕДИЦИНСКИХ УСЛУГ. МИНИМАЛЬНЫЕ ПРОГНОЗНЫЕ ПОКАЗАТЕЛИ ДОХОДНОСТИ ЧАСТНОГО ПАРТНЕРА </w:t>
      </w:r>
    </w:p>
    <w:p w14:paraId="5ED2F444" w14:textId="77777777" w:rsidR="00CC5203" w:rsidRPr="00CC5203" w:rsidRDefault="00CC5203" w:rsidP="00C6134B">
      <w:pPr>
        <w:spacing w:after="120" w:line="259" w:lineRule="auto"/>
        <w:rPr>
          <w:rFonts w:cstheme="minorHAnsi"/>
          <w:b/>
          <w:bCs/>
        </w:rPr>
      </w:pPr>
    </w:p>
    <w:p w14:paraId="25006E10" w14:textId="52D5E7EE" w:rsidR="003C5CBA" w:rsidRDefault="003C5CBA" w:rsidP="00030122">
      <w:pPr>
        <w:pStyle w:val="ListParagraph"/>
        <w:numPr>
          <w:ilvl w:val="0"/>
          <w:numId w:val="15"/>
        </w:numPr>
        <w:spacing w:after="240" w:line="259" w:lineRule="auto"/>
        <w:ind w:left="567" w:hanging="567"/>
        <w:jc w:val="both"/>
        <w:rPr>
          <w:rFonts w:cstheme="minorHAnsi"/>
          <w:b/>
          <w:bCs/>
        </w:rPr>
      </w:pPr>
      <w:r w:rsidRPr="00131F77">
        <w:rPr>
          <w:rFonts w:cstheme="minorHAnsi"/>
          <w:b/>
          <w:bCs/>
        </w:rPr>
        <w:t>Термины, определения и порядок толкования</w:t>
      </w:r>
    </w:p>
    <w:p w14:paraId="732F6568" w14:textId="77777777" w:rsidR="00030122" w:rsidRPr="00030122" w:rsidRDefault="00030122" w:rsidP="00030122">
      <w:pPr>
        <w:pStyle w:val="ListParagraph"/>
        <w:spacing w:after="240" w:line="259" w:lineRule="auto"/>
        <w:ind w:left="567"/>
        <w:jc w:val="both"/>
        <w:rPr>
          <w:rFonts w:cstheme="minorHAnsi"/>
          <w:b/>
          <w:bCs/>
          <w:sz w:val="12"/>
          <w:szCs w:val="12"/>
        </w:rPr>
      </w:pPr>
    </w:p>
    <w:p w14:paraId="482379C7" w14:textId="4747CC4A" w:rsidR="003C5CBA" w:rsidRDefault="003C5CBA" w:rsidP="00030122">
      <w:pPr>
        <w:pStyle w:val="ListParagraph"/>
        <w:spacing w:before="120" w:after="160" w:line="259" w:lineRule="auto"/>
        <w:ind w:left="567"/>
        <w:jc w:val="both"/>
        <w:rPr>
          <w:rFonts w:cstheme="minorHAnsi"/>
          <w:bCs/>
        </w:rPr>
      </w:pPr>
      <w:r w:rsidRPr="00131F77">
        <w:rPr>
          <w:rFonts w:cstheme="minorHAnsi"/>
          <w:bCs/>
        </w:rPr>
        <w:t xml:space="preserve">Любые ссылки на пункты в настоящем Приложении означают ссылки на пункты настоящего Приложения, если иное не предусмотрено </w:t>
      </w:r>
      <w:r>
        <w:rPr>
          <w:rFonts w:cstheme="minorHAnsi"/>
          <w:bCs/>
        </w:rPr>
        <w:t xml:space="preserve">настоящим </w:t>
      </w:r>
      <w:r w:rsidRPr="00131F77">
        <w:rPr>
          <w:rFonts w:cstheme="minorHAnsi"/>
          <w:bCs/>
        </w:rPr>
        <w:t>Приложением.</w:t>
      </w:r>
    </w:p>
    <w:p w14:paraId="28750B26" w14:textId="77777777" w:rsidR="003C5CBA" w:rsidRPr="003C5CBA" w:rsidRDefault="003C5CBA" w:rsidP="003C5CBA">
      <w:pPr>
        <w:pStyle w:val="ListParagraph"/>
        <w:spacing w:after="160" w:line="259" w:lineRule="auto"/>
        <w:ind w:left="567"/>
        <w:jc w:val="both"/>
        <w:rPr>
          <w:rFonts w:cstheme="minorHAnsi"/>
          <w:bCs/>
        </w:rPr>
      </w:pPr>
    </w:p>
    <w:p w14:paraId="39AC45E9" w14:textId="31310AEC" w:rsidR="00742290" w:rsidRPr="00C6134B" w:rsidRDefault="00030122" w:rsidP="00FA28EC">
      <w:pPr>
        <w:pStyle w:val="ListParagraph"/>
        <w:numPr>
          <w:ilvl w:val="0"/>
          <w:numId w:val="15"/>
        </w:numPr>
        <w:spacing w:after="240" w:line="259" w:lineRule="auto"/>
        <w:ind w:left="567" w:hanging="56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Гарантии по объемам (</w:t>
      </w:r>
      <w:r w:rsidR="00742290">
        <w:rPr>
          <w:rFonts w:cstheme="minorHAnsi"/>
          <w:b/>
          <w:bCs/>
        </w:rPr>
        <w:t>Минимальный прогнозный объем Основных медицинских услуг</w:t>
      </w:r>
      <w:r w:rsidR="00C6134B" w:rsidRPr="00C6134B">
        <w:rPr>
          <w:rFonts w:cstheme="minorHAnsi"/>
        </w:rPr>
        <w:t xml:space="preserve"> </w:t>
      </w:r>
      <w:r w:rsidR="00C6134B" w:rsidRPr="00C6134B">
        <w:rPr>
          <w:rFonts w:cstheme="minorHAnsi"/>
          <w:b/>
          <w:bCs/>
        </w:rPr>
        <w:t>в стационарных условиях по территориальной программе ОМС Республики Татарстан</w:t>
      </w:r>
      <w:r>
        <w:rPr>
          <w:rFonts w:cstheme="minorHAnsi"/>
          <w:b/>
          <w:bCs/>
        </w:rPr>
        <w:t>)</w:t>
      </w:r>
    </w:p>
    <w:p w14:paraId="0D4998D4" w14:textId="483AEE69" w:rsidR="002F344E" w:rsidRPr="004B6994" w:rsidRDefault="00742290" w:rsidP="00FA28EC">
      <w:pPr>
        <w:pStyle w:val="ListParagraph"/>
        <w:numPr>
          <w:ilvl w:val="0"/>
          <w:numId w:val="19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Заключая настоящее Соглашение, Стороны исходят из того, что на Объекте </w:t>
      </w:r>
      <w:r w:rsidR="00030122">
        <w:rPr>
          <w:rFonts w:cstheme="minorHAnsi"/>
        </w:rPr>
        <w:t xml:space="preserve">соглашения </w:t>
      </w:r>
      <w:r>
        <w:rPr>
          <w:rFonts w:cstheme="minorHAnsi"/>
        </w:rPr>
        <w:t>буд</w:t>
      </w:r>
      <w:r w:rsidR="004B6994">
        <w:rPr>
          <w:rFonts w:cstheme="minorHAnsi"/>
        </w:rPr>
        <w:t>у</w:t>
      </w:r>
      <w:r>
        <w:rPr>
          <w:rFonts w:cstheme="minorHAnsi"/>
        </w:rPr>
        <w:t>т достиг</w:t>
      </w:r>
      <w:r w:rsidR="004B6994">
        <w:rPr>
          <w:rFonts w:cstheme="minorHAnsi"/>
        </w:rPr>
        <w:t>нуты</w:t>
      </w:r>
      <w:r>
        <w:rPr>
          <w:rFonts w:cstheme="minorHAnsi"/>
        </w:rPr>
        <w:t xml:space="preserve"> </w:t>
      </w:r>
      <w:r w:rsidR="004B6994">
        <w:rPr>
          <w:rFonts w:cstheme="minorHAnsi"/>
        </w:rPr>
        <w:t xml:space="preserve">следующие показатели в отношении </w:t>
      </w:r>
      <w:r w:rsidR="004B6994" w:rsidRPr="00D53B35">
        <w:rPr>
          <w:rFonts w:cstheme="minorHAnsi"/>
        </w:rPr>
        <w:t xml:space="preserve">количества </w:t>
      </w:r>
      <w:r w:rsidR="004B6994">
        <w:rPr>
          <w:rFonts w:cstheme="minorHAnsi"/>
        </w:rPr>
        <w:t xml:space="preserve">случаев госпитализации </w:t>
      </w:r>
      <w:r w:rsidR="004B6994" w:rsidRPr="00D53B35">
        <w:rPr>
          <w:rFonts w:cstheme="minorHAnsi"/>
        </w:rPr>
        <w:t xml:space="preserve">пациентов </w:t>
      </w:r>
      <w:r w:rsidR="004B6994">
        <w:rPr>
          <w:rFonts w:cstheme="minorHAnsi"/>
        </w:rPr>
        <w:t>в стационарных условиях по территориальной программе ОМС Республики Татарстан</w:t>
      </w:r>
      <w:r w:rsidR="00FB55FF">
        <w:rPr>
          <w:rFonts w:cstheme="minorHAnsi"/>
        </w:rPr>
        <w:t xml:space="preserve"> (далее – «</w:t>
      </w:r>
      <w:r w:rsidR="00FB55FF" w:rsidRPr="00FA28EC">
        <w:rPr>
          <w:b/>
        </w:rPr>
        <w:t>Прогнозный объем основных медицинских услуг</w:t>
      </w:r>
      <w:r w:rsidR="00FB55FF">
        <w:rPr>
          <w:rFonts w:cstheme="minorHAnsi"/>
        </w:rPr>
        <w:t>»)</w:t>
      </w:r>
      <w:r w:rsidR="004B6994" w:rsidRPr="00D53B35">
        <w:rPr>
          <w:rFonts w:cstheme="minorHAnsi"/>
        </w:rPr>
        <w:t>:</w:t>
      </w:r>
    </w:p>
    <w:p w14:paraId="5B78BB48" w14:textId="503509E9" w:rsidR="002F344E" w:rsidRDefault="002F344E" w:rsidP="00FA28EC">
      <w:pPr>
        <w:pStyle w:val="ListParagraph"/>
        <w:numPr>
          <w:ilvl w:val="1"/>
          <w:numId w:val="16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Каждый </w:t>
      </w:r>
      <w:r w:rsidR="00131870">
        <w:rPr>
          <w:rFonts w:cstheme="minorHAnsi"/>
        </w:rPr>
        <w:t>Р</w:t>
      </w:r>
      <w:r>
        <w:rPr>
          <w:rFonts w:cstheme="minorHAnsi"/>
        </w:rPr>
        <w:t xml:space="preserve">абочий день на Объекте </w:t>
      </w:r>
      <w:r w:rsidR="005F51F3">
        <w:rPr>
          <w:rFonts w:cstheme="minorHAnsi"/>
        </w:rPr>
        <w:t xml:space="preserve">соглашения </w:t>
      </w:r>
      <w:r>
        <w:rPr>
          <w:rFonts w:cstheme="minorHAnsi"/>
        </w:rPr>
        <w:t xml:space="preserve">госпитализируется не менее 12 (двенадцати) пациентов по клинико-статистическим группам заболеваний (КСГ), указанным в настоящем Приложении (то есть каждый </w:t>
      </w:r>
      <w:r w:rsidR="00131870">
        <w:rPr>
          <w:rFonts w:cstheme="minorHAnsi"/>
        </w:rPr>
        <w:t>Р</w:t>
      </w:r>
      <w:r w:rsidR="004B6994">
        <w:rPr>
          <w:rFonts w:cstheme="minorHAnsi"/>
        </w:rPr>
        <w:t xml:space="preserve">абочий </w:t>
      </w:r>
      <w:r>
        <w:rPr>
          <w:rFonts w:cstheme="minorHAnsi"/>
        </w:rPr>
        <w:t xml:space="preserve">день на Объекте </w:t>
      </w:r>
      <w:r w:rsidR="005F51F3">
        <w:rPr>
          <w:rFonts w:cstheme="minorHAnsi"/>
        </w:rPr>
        <w:t xml:space="preserve">соглашения </w:t>
      </w:r>
      <w:r>
        <w:rPr>
          <w:rFonts w:cstheme="minorHAnsi"/>
        </w:rPr>
        <w:t>должно быть зарегистрировано не менее 12 случаев госпитализации по КСГ, установленным настоящим Приложением);</w:t>
      </w:r>
    </w:p>
    <w:p w14:paraId="41B590D3" w14:textId="74848656" w:rsidR="002F344E" w:rsidRDefault="002F344E" w:rsidP="00FA28EC">
      <w:pPr>
        <w:pStyle w:val="ListParagraph"/>
        <w:numPr>
          <w:ilvl w:val="1"/>
          <w:numId w:val="16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по итогам каждого календарного года Эксплуатации на Объекте </w:t>
      </w:r>
      <w:r w:rsidR="005F51F3">
        <w:rPr>
          <w:rFonts w:cstheme="minorHAnsi"/>
        </w:rPr>
        <w:t xml:space="preserve">соглашения </w:t>
      </w:r>
      <w:r>
        <w:rPr>
          <w:rFonts w:cstheme="minorHAnsi"/>
        </w:rPr>
        <w:t>должно быть осуществлено не менее 3160 (трех тысяч ста шестидесяти) госпитализаций</w:t>
      </w:r>
      <w:r w:rsidR="004B6994">
        <w:rPr>
          <w:rFonts w:cstheme="minorHAnsi"/>
        </w:rPr>
        <w:t xml:space="preserve"> (зарегистрировано случаев госпитализации)</w:t>
      </w:r>
      <w:r>
        <w:rPr>
          <w:rFonts w:cstheme="minorHAnsi"/>
        </w:rPr>
        <w:t>, из которых:</w:t>
      </w:r>
    </w:p>
    <w:p w14:paraId="6F4915B1" w14:textId="7E7DC574" w:rsidR="00267146" w:rsidRDefault="00267146" w:rsidP="00FA28EC">
      <w:pPr>
        <w:pStyle w:val="ListParagraph"/>
        <w:numPr>
          <w:ilvl w:val="2"/>
          <w:numId w:val="16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78354E">
        <w:rPr>
          <w:rFonts w:cstheme="minorHAnsi"/>
        </w:rPr>
        <w:t>по клинико-статистической группе «Медицинская реабилитация пациентов с заболеваниями опорно-двигательного аппарата и периферической нервной системы (3 балла по ШРМ)» (код КСГ st37.005) – не менее 130 (ста тридцати) случаев госпитализации;</w:t>
      </w:r>
    </w:p>
    <w:p w14:paraId="61EE7934" w14:textId="77777777" w:rsidR="0078354E" w:rsidRDefault="00267146" w:rsidP="00FA28EC">
      <w:pPr>
        <w:pStyle w:val="ListParagraph"/>
        <w:numPr>
          <w:ilvl w:val="2"/>
          <w:numId w:val="16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78354E">
        <w:rPr>
          <w:rFonts w:cstheme="minorHAnsi"/>
        </w:rPr>
        <w:t>по клинико-статистической группе «Медицинская реабилитация пациентов с заболеваниями опорно-двигательного аппарата и периферической нервной системы (4 балла по ШРМ) (уровень 2)» (код КСГ st37.006.2) – не менее 1230 (одной тысячи двухсот тридцати) случаев госпитализации;</w:t>
      </w:r>
    </w:p>
    <w:p w14:paraId="17D52F69" w14:textId="77777777" w:rsidR="0078354E" w:rsidRDefault="00267146" w:rsidP="00FA28EC">
      <w:pPr>
        <w:pStyle w:val="ListParagraph"/>
        <w:numPr>
          <w:ilvl w:val="2"/>
          <w:numId w:val="16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78354E">
        <w:rPr>
          <w:rFonts w:cstheme="minorHAnsi"/>
        </w:rPr>
        <w:t xml:space="preserve">по клинико-статистической группе «Медицинская реабилитация пациентов с заболеваниями опорно-двигательного аппарата и периферической нервной </w:t>
      </w:r>
      <w:r w:rsidRPr="0078354E">
        <w:rPr>
          <w:rFonts w:cstheme="minorHAnsi"/>
        </w:rPr>
        <w:lastRenderedPageBreak/>
        <w:t>системы (5 баллов по ШРМ)» (код КСГ st37.007) – не менее 300 (трехсот) случаев госпитализации;</w:t>
      </w:r>
    </w:p>
    <w:p w14:paraId="09F7D95C" w14:textId="77777777" w:rsidR="0078354E" w:rsidRDefault="002F344E" w:rsidP="00FA28EC">
      <w:pPr>
        <w:pStyle w:val="ListParagraph"/>
        <w:numPr>
          <w:ilvl w:val="2"/>
          <w:numId w:val="16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78354E">
        <w:rPr>
          <w:rFonts w:cstheme="minorHAnsi"/>
        </w:rPr>
        <w:t>по клинико-статистической группе «Медицинская реабилитация пациентов с заболеваниями центральной нервной системы (3 балла по ШРМ) (уровень 2)» (код КСГ st37.001.2) – не менее 150 (ста пятидесяти) случаев госпитализации;</w:t>
      </w:r>
    </w:p>
    <w:p w14:paraId="2C391BA6" w14:textId="77777777" w:rsidR="0078354E" w:rsidRDefault="002F344E" w:rsidP="00FA28EC">
      <w:pPr>
        <w:pStyle w:val="ListParagraph"/>
        <w:numPr>
          <w:ilvl w:val="2"/>
          <w:numId w:val="16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78354E">
        <w:rPr>
          <w:rFonts w:cstheme="minorHAnsi"/>
        </w:rPr>
        <w:t>по клинико-статистической группе «Медицинская реабилитация пациентов с заболеваниями центральной нервной системы (4 балла по ШРМ) (уровень 2)» (код КСГ st37.002.2) – не менее 1050 (одной тысячи пятидесяти) случаев госпитализации;</w:t>
      </w:r>
    </w:p>
    <w:p w14:paraId="5ADD842E" w14:textId="68BCC0B0" w:rsidR="002F344E" w:rsidRPr="0078354E" w:rsidRDefault="002F344E" w:rsidP="00FA28EC">
      <w:pPr>
        <w:pStyle w:val="ListParagraph"/>
        <w:numPr>
          <w:ilvl w:val="2"/>
          <w:numId w:val="16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78354E">
        <w:rPr>
          <w:rFonts w:cstheme="minorHAnsi"/>
        </w:rPr>
        <w:t>по клинико-статистической группе «Медицинская реабилитация пациентов с заболеваниями центральной нервной системы (5 баллов по ШРМ) (уровень 2)» (код КСГ st37.003.2) – не менее 300 (трехсот) случаев госпитализации</w:t>
      </w:r>
      <w:r w:rsidR="00267146" w:rsidRPr="0078354E">
        <w:rPr>
          <w:rFonts w:cstheme="minorHAnsi"/>
        </w:rPr>
        <w:t>.</w:t>
      </w:r>
    </w:p>
    <w:p w14:paraId="38D602E0" w14:textId="5A8397B4" w:rsidR="002F344E" w:rsidRDefault="0057593B" w:rsidP="00FA28EC">
      <w:pPr>
        <w:pStyle w:val="ListParagraph"/>
        <w:numPr>
          <w:ilvl w:val="0"/>
          <w:numId w:val="19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>Для случаев, к</w:t>
      </w:r>
      <w:r w:rsidR="00781DC8">
        <w:rPr>
          <w:rFonts w:cstheme="minorHAnsi"/>
        </w:rPr>
        <w:t xml:space="preserve">огда Эксплуатация осуществляется в течение неполного календарного года </w:t>
      </w:r>
      <w:r>
        <w:rPr>
          <w:rFonts w:cstheme="minorHAnsi"/>
        </w:rPr>
        <w:t xml:space="preserve">(в частности, </w:t>
      </w:r>
      <w:r w:rsidR="00127272">
        <w:rPr>
          <w:rFonts w:cstheme="minorHAnsi"/>
        </w:rPr>
        <w:t xml:space="preserve">Эксплуатация в </w:t>
      </w:r>
      <w:r>
        <w:rPr>
          <w:rFonts w:cstheme="minorHAnsi"/>
        </w:rPr>
        <w:t xml:space="preserve">период между Датой начала стадии эксплуатации и окончанием календарного года, в котором была начата Эксплуатация), </w:t>
      </w:r>
      <w:r w:rsidR="00F87010">
        <w:rPr>
          <w:rFonts w:cstheme="minorHAnsi"/>
        </w:rPr>
        <w:t xml:space="preserve">установленные в пункте 1 раздела </w:t>
      </w:r>
      <w:r w:rsidR="00F87010" w:rsidRPr="00FA28EC">
        <w:t>I</w:t>
      </w:r>
      <w:r w:rsidR="00AF1958">
        <w:rPr>
          <w:lang w:val="en-US"/>
        </w:rPr>
        <w:t>I</w:t>
      </w:r>
      <w:r w:rsidR="00F87010" w:rsidRPr="00F87010">
        <w:rPr>
          <w:rFonts w:cstheme="minorHAnsi"/>
        </w:rPr>
        <w:t xml:space="preserve"> </w:t>
      </w:r>
      <w:r w:rsidR="00F87010">
        <w:rPr>
          <w:rFonts w:cstheme="minorHAnsi"/>
        </w:rPr>
        <w:t xml:space="preserve">настоящего Приложения показатели </w:t>
      </w:r>
      <w:r w:rsidR="00DA2623">
        <w:rPr>
          <w:rFonts w:cstheme="minorHAnsi"/>
        </w:rPr>
        <w:t xml:space="preserve">Прогнозного объема основных медицинских услуг </w:t>
      </w:r>
      <w:r w:rsidR="00F87010">
        <w:rPr>
          <w:rFonts w:cstheme="minorHAnsi"/>
        </w:rPr>
        <w:t xml:space="preserve">рассчитываются путем умножения предусмотренного в пункте 1 раздела </w:t>
      </w:r>
      <w:r w:rsidR="00F87010" w:rsidRPr="00FA28EC">
        <w:t>I</w:t>
      </w:r>
      <w:r w:rsidR="00AF1958">
        <w:rPr>
          <w:lang w:val="en-US"/>
        </w:rPr>
        <w:t>I</w:t>
      </w:r>
      <w:r w:rsidR="00F87010" w:rsidRPr="00F87010">
        <w:rPr>
          <w:rFonts w:cstheme="minorHAnsi"/>
        </w:rPr>
        <w:t xml:space="preserve"> </w:t>
      </w:r>
      <w:r w:rsidR="00F87010">
        <w:rPr>
          <w:rFonts w:cstheme="minorHAnsi"/>
        </w:rPr>
        <w:t xml:space="preserve">настоящего Приложения количества случаев госпитализации на количество </w:t>
      </w:r>
      <w:r w:rsidR="00131870">
        <w:rPr>
          <w:rFonts w:cstheme="minorHAnsi"/>
        </w:rPr>
        <w:t>Р</w:t>
      </w:r>
      <w:r w:rsidR="00F87010">
        <w:rPr>
          <w:rFonts w:cstheme="minorHAnsi"/>
        </w:rPr>
        <w:t>абочих дней</w:t>
      </w:r>
      <w:r w:rsidR="004A0F3C">
        <w:rPr>
          <w:rFonts w:cstheme="minorHAnsi"/>
        </w:rPr>
        <w:t xml:space="preserve">, приходящихся на период </w:t>
      </w:r>
      <w:r w:rsidR="00111434">
        <w:rPr>
          <w:rFonts w:cstheme="minorHAnsi"/>
        </w:rPr>
        <w:t xml:space="preserve">неполного календарного года, в течение которого осуществлялась Эксплуатация (например, период </w:t>
      </w:r>
      <w:r w:rsidR="004A0F3C">
        <w:rPr>
          <w:rFonts w:cstheme="minorHAnsi"/>
        </w:rPr>
        <w:t>между Датой начала стадии эксплуатации и 31 декабря календарно</w:t>
      </w:r>
      <w:r w:rsidR="005F51F3">
        <w:rPr>
          <w:rFonts w:cstheme="minorHAnsi"/>
        </w:rPr>
        <w:t>го года, в котором была начата Э</w:t>
      </w:r>
      <w:r w:rsidR="004A0F3C">
        <w:rPr>
          <w:rFonts w:cstheme="minorHAnsi"/>
        </w:rPr>
        <w:t>ксплуатация</w:t>
      </w:r>
      <w:r w:rsidR="00111434">
        <w:rPr>
          <w:rFonts w:cstheme="minorHAnsi"/>
        </w:rPr>
        <w:t>)</w:t>
      </w:r>
      <w:r w:rsidR="004A0F3C">
        <w:rPr>
          <w:rFonts w:cstheme="minorHAnsi"/>
        </w:rPr>
        <w:t xml:space="preserve">, и деления на общее количество </w:t>
      </w:r>
      <w:r w:rsidR="00131870">
        <w:rPr>
          <w:rFonts w:cstheme="minorHAnsi"/>
        </w:rPr>
        <w:t>Р</w:t>
      </w:r>
      <w:r w:rsidR="004A0F3C">
        <w:rPr>
          <w:rFonts w:cstheme="minorHAnsi"/>
        </w:rPr>
        <w:t xml:space="preserve">абочих дней </w:t>
      </w:r>
      <w:r w:rsidR="00111434">
        <w:rPr>
          <w:rFonts w:cstheme="minorHAnsi"/>
        </w:rPr>
        <w:t xml:space="preserve">такого </w:t>
      </w:r>
      <w:r w:rsidR="004A0F3C">
        <w:rPr>
          <w:rFonts w:cstheme="minorHAnsi"/>
        </w:rPr>
        <w:t>календарного года.</w:t>
      </w:r>
    </w:p>
    <w:p w14:paraId="25CB5E8C" w14:textId="2D83403E" w:rsidR="00A7428F" w:rsidRDefault="00A7428F" w:rsidP="00FA28EC">
      <w:pPr>
        <w:pStyle w:val="ListParagraph"/>
        <w:numPr>
          <w:ilvl w:val="0"/>
          <w:numId w:val="19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>С</w:t>
      </w:r>
      <w:r w:rsidR="00B80F2F">
        <w:rPr>
          <w:rFonts w:cstheme="minorHAnsi"/>
        </w:rPr>
        <w:t>редние ежедневные показатели</w:t>
      </w:r>
      <w:r w:rsidR="00F773D5">
        <w:rPr>
          <w:rFonts w:cstheme="minorHAnsi"/>
        </w:rPr>
        <w:t xml:space="preserve"> Прогнозного объема основных медицинских услуг </w:t>
      </w:r>
      <w:r>
        <w:rPr>
          <w:rFonts w:cstheme="minorHAnsi"/>
        </w:rPr>
        <w:t xml:space="preserve">по итогам каждого календарного года Эксплуатации </w:t>
      </w:r>
      <w:r w:rsidR="000A5B4D">
        <w:rPr>
          <w:rFonts w:cstheme="minorHAnsi"/>
        </w:rPr>
        <w:t xml:space="preserve">рассчитываются </w:t>
      </w:r>
      <w:proofErr w:type="gramStart"/>
      <w:r w:rsidR="000A5B4D">
        <w:rPr>
          <w:rFonts w:cstheme="minorHAnsi"/>
        </w:rPr>
        <w:t xml:space="preserve">путем </w:t>
      </w:r>
      <w:r w:rsidR="00F773D5">
        <w:rPr>
          <w:rFonts w:cstheme="minorHAnsi"/>
        </w:rPr>
        <w:t>умножения</w:t>
      </w:r>
      <w:proofErr w:type="gramEnd"/>
      <w:r w:rsidR="00F773D5">
        <w:rPr>
          <w:rFonts w:cstheme="minorHAnsi"/>
        </w:rPr>
        <w:t xml:space="preserve"> предусмотренного в пункте 1 раздела </w:t>
      </w:r>
      <w:r w:rsidR="00F773D5" w:rsidRPr="00FA28EC">
        <w:t>I</w:t>
      </w:r>
      <w:r w:rsidR="00AF1958">
        <w:rPr>
          <w:lang w:val="en-US"/>
        </w:rPr>
        <w:t>I</w:t>
      </w:r>
      <w:r w:rsidR="00F773D5" w:rsidRPr="00F87010">
        <w:rPr>
          <w:rFonts w:cstheme="minorHAnsi"/>
        </w:rPr>
        <w:t xml:space="preserve"> </w:t>
      </w:r>
      <w:r w:rsidR="00F773D5">
        <w:rPr>
          <w:rFonts w:cstheme="minorHAnsi"/>
        </w:rPr>
        <w:t>настоящего Приложения количества случаев госпитализации на количество Рабочих дней в календарном году, которое Сторонами принимается равным 247 (двумстам сорока семи)</w:t>
      </w:r>
      <w:r>
        <w:rPr>
          <w:rFonts w:cstheme="minorHAnsi"/>
        </w:rPr>
        <w:t xml:space="preserve"> и должны составлять (далее – «</w:t>
      </w:r>
      <w:r w:rsidRPr="00FA28EC">
        <w:rPr>
          <w:b/>
        </w:rPr>
        <w:t xml:space="preserve">Средние ежедневные </w:t>
      </w:r>
      <w:r w:rsidR="008705E4">
        <w:rPr>
          <w:b/>
        </w:rPr>
        <w:t>показатели п</w:t>
      </w:r>
      <w:r w:rsidRPr="00FA28EC">
        <w:rPr>
          <w:b/>
        </w:rPr>
        <w:t>рогнозного объема основных медицинских услуг</w:t>
      </w:r>
      <w:r>
        <w:rPr>
          <w:rFonts w:cstheme="minorHAnsi"/>
        </w:rPr>
        <w:t>»):</w:t>
      </w:r>
    </w:p>
    <w:p w14:paraId="6374AF0C" w14:textId="5B12DC4F" w:rsidR="00314DBD" w:rsidRPr="005F51F3" w:rsidRDefault="00314DBD" w:rsidP="00FA28EC">
      <w:pPr>
        <w:pStyle w:val="ListParagraph"/>
        <w:numPr>
          <w:ilvl w:val="0"/>
          <w:numId w:val="25"/>
        </w:numPr>
        <w:spacing w:after="240"/>
        <w:ind w:left="567" w:hanging="567"/>
        <w:jc w:val="both"/>
        <w:rPr>
          <w:rFonts w:cstheme="minorHAnsi"/>
        </w:rPr>
      </w:pPr>
      <w:r w:rsidRPr="005F51F3">
        <w:rPr>
          <w:rFonts w:cstheme="minorHAnsi"/>
        </w:rPr>
        <w:t xml:space="preserve">Количество случаев госпитализации на Объект </w:t>
      </w:r>
      <w:r w:rsidR="005F51F3" w:rsidRPr="005F51F3">
        <w:rPr>
          <w:rFonts w:cstheme="minorHAnsi"/>
        </w:rPr>
        <w:t xml:space="preserve">соглашения </w:t>
      </w:r>
      <w:r w:rsidRPr="005F51F3">
        <w:rPr>
          <w:rFonts w:cstheme="minorHAnsi"/>
        </w:rPr>
        <w:t>пациентов по клинико-статистическим группам заболеваний (КСГ), указанным в настоящем Приложении, – не менее 12,7935 (двенадцати целых семи тысяч девятисот тридцати пяти десятитысячных), из которых:</w:t>
      </w:r>
    </w:p>
    <w:p w14:paraId="39EA56D4" w14:textId="635F7530" w:rsidR="00EB628A" w:rsidRDefault="00EB628A" w:rsidP="00FA28EC">
      <w:pPr>
        <w:spacing w:after="240"/>
        <w:ind w:left="1418" w:hanging="851"/>
        <w:jc w:val="both"/>
        <w:rPr>
          <w:rFonts w:cstheme="minorHAnsi"/>
        </w:rPr>
      </w:pPr>
      <w:r>
        <w:rPr>
          <w:rFonts w:cstheme="minorHAnsi"/>
        </w:rPr>
        <w:t xml:space="preserve">3.1.1. </w:t>
      </w:r>
      <w:r w:rsidR="005F51F3">
        <w:rPr>
          <w:rFonts w:cstheme="minorHAnsi"/>
        </w:rPr>
        <w:tab/>
      </w:r>
      <w:r w:rsidRPr="00EB628A">
        <w:rPr>
          <w:rFonts w:cstheme="minorHAnsi"/>
        </w:rPr>
        <w:t>по клинико-статистической группе «Медицинская реабилитация пациентов с заболеваниями опорно-двигательного аппарата и периферической нервной системы (3 балла по ШРМ)» (код КСГ st37.005) – не менее 0,5263 (</w:t>
      </w:r>
      <w:r>
        <w:rPr>
          <w:rFonts w:cstheme="minorHAnsi"/>
        </w:rPr>
        <w:t>ноля целых пяти тысяч двухсот шестидесяти трех десятитысячных</w:t>
      </w:r>
      <w:r w:rsidRPr="00EB628A">
        <w:rPr>
          <w:rFonts w:cstheme="minorHAnsi"/>
        </w:rPr>
        <w:t>) случаев госпитализации;</w:t>
      </w:r>
    </w:p>
    <w:p w14:paraId="561D01A2" w14:textId="50316C38" w:rsidR="00B77491" w:rsidRDefault="00EB628A" w:rsidP="00FA28EC">
      <w:pPr>
        <w:spacing w:after="240"/>
        <w:ind w:left="1418" w:hanging="851"/>
        <w:jc w:val="both"/>
        <w:rPr>
          <w:rFonts w:cstheme="minorHAnsi"/>
        </w:rPr>
      </w:pPr>
      <w:r>
        <w:rPr>
          <w:rFonts w:cstheme="minorHAnsi"/>
        </w:rPr>
        <w:t xml:space="preserve">3.1.2. </w:t>
      </w:r>
      <w:r w:rsidR="005F51F3">
        <w:rPr>
          <w:rFonts w:cstheme="minorHAnsi"/>
        </w:rPr>
        <w:tab/>
      </w:r>
      <w:r w:rsidRPr="00EB628A">
        <w:rPr>
          <w:rFonts w:cstheme="minorHAnsi"/>
        </w:rPr>
        <w:t xml:space="preserve">по клинико-статистической группе «Медицинская реабилитация пациентов с заболеваниями опорно-двигательного аппарата и периферической нервной системы (4 балла по ШРМ) (уровень 2)» (код КСГ st37.006.2) – не менее </w:t>
      </w:r>
      <w:r w:rsidRPr="00352919">
        <w:rPr>
          <w:rFonts w:cstheme="minorHAnsi"/>
        </w:rPr>
        <w:t>4,9798</w:t>
      </w:r>
      <w:r w:rsidRPr="00EB628A">
        <w:rPr>
          <w:rFonts w:cstheme="minorHAnsi"/>
        </w:rPr>
        <w:t xml:space="preserve"> </w:t>
      </w:r>
      <w:r w:rsidRPr="00EB628A">
        <w:rPr>
          <w:rFonts w:cstheme="minorHAnsi"/>
        </w:rPr>
        <w:lastRenderedPageBreak/>
        <w:t>(</w:t>
      </w:r>
      <w:r w:rsidR="00B77491">
        <w:rPr>
          <w:rFonts w:cstheme="minorHAnsi"/>
        </w:rPr>
        <w:t>четырех целых девяти тысяч семисот девяноста восьми десятитысячных</w:t>
      </w:r>
      <w:r w:rsidRPr="00EB628A">
        <w:rPr>
          <w:rFonts w:cstheme="minorHAnsi"/>
        </w:rPr>
        <w:t>) случаев госпитализации;</w:t>
      </w:r>
    </w:p>
    <w:p w14:paraId="3FB6FF32" w14:textId="1FC4C20C" w:rsidR="00EB628A" w:rsidRDefault="00B77491" w:rsidP="00FA28EC">
      <w:pPr>
        <w:spacing w:after="240"/>
        <w:ind w:left="1418" w:hanging="851"/>
        <w:jc w:val="both"/>
        <w:rPr>
          <w:rFonts w:cstheme="minorHAnsi"/>
        </w:rPr>
      </w:pPr>
      <w:r>
        <w:rPr>
          <w:rFonts w:cstheme="minorHAnsi"/>
        </w:rPr>
        <w:t xml:space="preserve">3.1.3. </w:t>
      </w:r>
      <w:r w:rsidR="005F51F3">
        <w:rPr>
          <w:rFonts w:cstheme="minorHAnsi"/>
        </w:rPr>
        <w:tab/>
      </w:r>
      <w:r w:rsidR="00EB628A" w:rsidRPr="00B77491">
        <w:rPr>
          <w:rFonts w:cstheme="minorHAnsi"/>
        </w:rPr>
        <w:t xml:space="preserve">по клинико-статистической группе «Медицинская реабилитация пациентов с заболеваниями опорно-двигательного аппарата и периферической нервной системы (5 баллов по ШРМ)» (код КСГ st37.007) – не менее </w:t>
      </w:r>
      <w:r w:rsidRPr="00352919">
        <w:rPr>
          <w:rFonts w:cstheme="minorHAnsi"/>
        </w:rPr>
        <w:t>1,2146</w:t>
      </w:r>
      <w:r w:rsidR="00EB628A" w:rsidRPr="00B77491">
        <w:rPr>
          <w:rFonts w:cstheme="minorHAnsi"/>
        </w:rPr>
        <w:t xml:space="preserve"> (</w:t>
      </w:r>
      <w:r>
        <w:rPr>
          <w:rFonts w:cstheme="minorHAnsi"/>
        </w:rPr>
        <w:t>одной целой двух тысяч ста сорока шести</w:t>
      </w:r>
      <w:r w:rsidR="00352919">
        <w:rPr>
          <w:rFonts w:cstheme="minorHAnsi"/>
        </w:rPr>
        <w:t xml:space="preserve"> десятитысячных</w:t>
      </w:r>
      <w:r w:rsidR="00EB628A" w:rsidRPr="00B77491">
        <w:rPr>
          <w:rFonts w:cstheme="minorHAnsi"/>
        </w:rPr>
        <w:t>) случаев госпитализации;</w:t>
      </w:r>
    </w:p>
    <w:p w14:paraId="6D9DE48F" w14:textId="74FEC177" w:rsidR="00531627" w:rsidRDefault="00EB628A" w:rsidP="00FA28EC">
      <w:pPr>
        <w:pStyle w:val="ListParagraph"/>
        <w:numPr>
          <w:ilvl w:val="2"/>
          <w:numId w:val="22"/>
        </w:numPr>
        <w:spacing w:after="240"/>
        <w:ind w:left="1418" w:hanging="851"/>
        <w:jc w:val="both"/>
        <w:rPr>
          <w:rFonts w:cstheme="minorHAnsi"/>
        </w:rPr>
      </w:pPr>
      <w:r w:rsidRPr="00531627">
        <w:rPr>
          <w:rFonts w:cstheme="minorHAnsi"/>
        </w:rPr>
        <w:t xml:space="preserve">по клинико-статистической группе «Медицинская реабилитация пациентов с заболеваниями центральной нервной системы (3 балла по ШРМ) (уровень 2)» (код КСГ st37.001.2) – не менее </w:t>
      </w:r>
      <w:r w:rsidR="00531627" w:rsidRPr="00352919">
        <w:rPr>
          <w:rFonts w:cstheme="minorHAnsi"/>
        </w:rPr>
        <w:t>0,6073</w:t>
      </w:r>
      <w:r w:rsidRPr="00531627">
        <w:rPr>
          <w:rFonts w:cstheme="minorHAnsi"/>
        </w:rPr>
        <w:t xml:space="preserve"> (</w:t>
      </w:r>
      <w:r w:rsidR="00531627">
        <w:rPr>
          <w:rFonts w:cstheme="minorHAnsi"/>
        </w:rPr>
        <w:t>ноля целых шести тысяч семидесяти трех десятитысячных</w:t>
      </w:r>
      <w:r w:rsidRPr="00531627">
        <w:rPr>
          <w:rFonts w:cstheme="minorHAnsi"/>
        </w:rPr>
        <w:t>) случаев госпитализации;</w:t>
      </w:r>
    </w:p>
    <w:p w14:paraId="6C50E445" w14:textId="77777777" w:rsidR="00A836C8" w:rsidRDefault="00A836C8" w:rsidP="00A836C8">
      <w:pPr>
        <w:pStyle w:val="ListParagraph"/>
        <w:spacing w:after="240"/>
        <w:ind w:left="1418"/>
        <w:jc w:val="both"/>
        <w:rPr>
          <w:rFonts w:cstheme="minorHAnsi"/>
        </w:rPr>
      </w:pPr>
    </w:p>
    <w:p w14:paraId="568F3CC3" w14:textId="62B97DEE" w:rsidR="00EB628A" w:rsidRDefault="00EB628A" w:rsidP="00FA28EC">
      <w:pPr>
        <w:pStyle w:val="ListParagraph"/>
        <w:numPr>
          <w:ilvl w:val="2"/>
          <w:numId w:val="22"/>
        </w:numPr>
        <w:spacing w:after="240"/>
        <w:ind w:left="1418" w:hanging="851"/>
        <w:jc w:val="both"/>
        <w:rPr>
          <w:rFonts w:cstheme="minorHAnsi"/>
        </w:rPr>
      </w:pPr>
      <w:r w:rsidRPr="00531627">
        <w:rPr>
          <w:rFonts w:cstheme="minorHAnsi"/>
        </w:rPr>
        <w:t xml:space="preserve">по клинико-статистической группе «Медицинская реабилитация пациентов с заболеваниями центральной нервной системы (4 балла по ШРМ) (уровень 2)» (код КСГ st37.002.2) – не менее </w:t>
      </w:r>
      <w:r w:rsidR="00531627" w:rsidRPr="00352919">
        <w:rPr>
          <w:rFonts w:cstheme="minorHAnsi"/>
        </w:rPr>
        <w:t>4,2510</w:t>
      </w:r>
      <w:r w:rsidRPr="00531627">
        <w:rPr>
          <w:rFonts w:cstheme="minorHAnsi"/>
        </w:rPr>
        <w:t xml:space="preserve"> (</w:t>
      </w:r>
      <w:r w:rsidR="00531627">
        <w:rPr>
          <w:rFonts w:cstheme="minorHAnsi"/>
        </w:rPr>
        <w:t xml:space="preserve">четырех </w:t>
      </w:r>
      <w:r w:rsidR="00352919">
        <w:rPr>
          <w:rFonts w:cstheme="minorHAnsi"/>
        </w:rPr>
        <w:t>целых двух тысяч пятисот десяти десятитысячных</w:t>
      </w:r>
      <w:r w:rsidRPr="00531627">
        <w:rPr>
          <w:rFonts w:cstheme="minorHAnsi"/>
        </w:rPr>
        <w:t>) случаев госпитализации;</w:t>
      </w:r>
    </w:p>
    <w:p w14:paraId="01210F06" w14:textId="77777777" w:rsidR="00A836C8" w:rsidRDefault="00A836C8" w:rsidP="00A836C8">
      <w:pPr>
        <w:pStyle w:val="ListParagraph"/>
        <w:spacing w:after="240"/>
        <w:ind w:left="1418"/>
        <w:jc w:val="both"/>
        <w:rPr>
          <w:rFonts w:cstheme="minorHAnsi"/>
        </w:rPr>
      </w:pPr>
    </w:p>
    <w:p w14:paraId="501AE007" w14:textId="0666C070" w:rsidR="00EB628A" w:rsidRPr="00352919" w:rsidRDefault="00EB628A" w:rsidP="00FA28EC">
      <w:pPr>
        <w:pStyle w:val="ListParagraph"/>
        <w:numPr>
          <w:ilvl w:val="2"/>
          <w:numId w:val="22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352919">
        <w:rPr>
          <w:rFonts w:cstheme="minorHAnsi"/>
        </w:rPr>
        <w:t xml:space="preserve">по клинико-статистической группе «Медицинская реабилитация пациентов с заболеваниями центральной нервной системы (5 баллов по ШРМ) (уровень 2)» (код КСГ st37.003.2) – не менее </w:t>
      </w:r>
      <w:r w:rsidR="00352919" w:rsidRPr="00352919">
        <w:rPr>
          <w:rFonts w:cstheme="minorHAnsi"/>
        </w:rPr>
        <w:t>1,2146</w:t>
      </w:r>
      <w:r w:rsidRPr="00352919">
        <w:rPr>
          <w:rFonts w:cstheme="minorHAnsi"/>
        </w:rPr>
        <w:t xml:space="preserve"> (</w:t>
      </w:r>
      <w:r w:rsidR="00352919">
        <w:rPr>
          <w:rFonts w:cstheme="minorHAnsi"/>
        </w:rPr>
        <w:t>одной целой двух тысяч ста сорока шести десятитысячных</w:t>
      </w:r>
      <w:r w:rsidRPr="00352919">
        <w:rPr>
          <w:rFonts w:cstheme="minorHAnsi"/>
        </w:rPr>
        <w:t>) случаев госпитализации.</w:t>
      </w:r>
    </w:p>
    <w:p w14:paraId="1B375B81" w14:textId="2E01C2C4" w:rsidR="00A147F9" w:rsidRDefault="00A147F9" w:rsidP="00FA28EC">
      <w:pPr>
        <w:pStyle w:val="ListParagraph"/>
        <w:numPr>
          <w:ilvl w:val="0"/>
          <w:numId w:val="19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Средние ежедневные показатели Прогнозного объема основных медицинских услуг по итогам каждого календарного года Эксплуатации, </w:t>
      </w:r>
      <w:r w:rsidRPr="00D53B35">
        <w:rPr>
          <w:rFonts w:cstheme="minorHAnsi"/>
        </w:rPr>
        <w:t>указанн</w:t>
      </w:r>
      <w:r>
        <w:rPr>
          <w:rFonts w:cstheme="minorHAnsi"/>
        </w:rPr>
        <w:t>ы</w:t>
      </w:r>
      <w:r w:rsidRPr="00D53B35">
        <w:rPr>
          <w:rFonts w:cstheme="minorHAnsi"/>
        </w:rPr>
        <w:t>е в пункт</w:t>
      </w:r>
      <w:r>
        <w:rPr>
          <w:rFonts w:cstheme="minorHAnsi"/>
        </w:rPr>
        <w:t>е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>3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 xml:space="preserve">раздела </w:t>
      </w:r>
      <w:r w:rsidRPr="00FA28EC">
        <w:t>I</w:t>
      </w:r>
      <w:r w:rsidR="00AF1958">
        <w:rPr>
          <w:lang w:val="en-US"/>
        </w:rPr>
        <w:t>I</w:t>
      </w:r>
      <w:r w:rsidRPr="005F3B49">
        <w:rPr>
          <w:rFonts w:cstheme="minorHAnsi"/>
        </w:rPr>
        <w:t xml:space="preserve"> </w:t>
      </w:r>
      <w:r>
        <w:rPr>
          <w:rFonts w:cstheme="minorHAnsi"/>
        </w:rPr>
        <w:t xml:space="preserve">настоящего Приложения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 xml:space="preserve">15, представлены в виде Таблицы 2 «Средние ежедневные показатели Прогнозного объема основных медицинских услуг», прилагаемой к настоящему Приложению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>15.</w:t>
      </w:r>
      <w:r w:rsidRPr="00D53B35">
        <w:rPr>
          <w:rFonts w:cstheme="minorHAnsi"/>
        </w:rPr>
        <w:t xml:space="preserve"> В случае каких-либо противоречий между </w:t>
      </w:r>
      <w:r>
        <w:rPr>
          <w:rFonts w:cstheme="minorHAnsi"/>
        </w:rPr>
        <w:t xml:space="preserve">пунктом 3 раздела </w:t>
      </w:r>
      <w:r w:rsidRPr="00FA28EC">
        <w:t>I</w:t>
      </w:r>
      <w:r w:rsidR="00AF1958">
        <w:rPr>
          <w:lang w:val="en-US"/>
        </w:rPr>
        <w:t>I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 xml:space="preserve">Приложения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 xml:space="preserve">15 </w:t>
      </w:r>
      <w:r w:rsidRPr="00D53B35">
        <w:rPr>
          <w:rFonts w:cstheme="minorHAnsi"/>
        </w:rPr>
        <w:t xml:space="preserve">и </w:t>
      </w:r>
      <w:r>
        <w:rPr>
          <w:rFonts w:cstheme="minorHAnsi"/>
        </w:rPr>
        <w:t>Таблицей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>2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>преимущество имеют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 xml:space="preserve">положения пункта 3 раздела </w:t>
      </w:r>
      <w:r w:rsidRPr="00FA28EC">
        <w:t>I</w:t>
      </w:r>
      <w:r w:rsidR="00AF1958">
        <w:rPr>
          <w:lang w:val="en-US"/>
        </w:rPr>
        <w:t>I</w:t>
      </w:r>
      <w:r>
        <w:rPr>
          <w:rFonts w:cstheme="minorHAnsi"/>
        </w:rPr>
        <w:t xml:space="preserve"> Приложения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>15</w:t>
      </w:r>
      <w:r w:rsidRPr="00D53B35">
        <w:rPr>
          <w:rFonts w:cstheme="minorHAnsi"/>
        </w:rPr>
        <w:t>.</w:t>
      </w:r>
    </w:p>
    <w:p w14:paraId="61E073AC" w14:textId="1A31CF4E" w:rsidR="005F3B49" w:rsidRPr="00C6134B" w:rsidRDefault="00DA2623" w:rsidP="00FA28EC">
      <w:pPr>
        <w:pStyle w:val="ListParagraph"/>
        <w:numPr>
          <w:ilvl w:val="0"/>
          <w:numId w:val="19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>Показатели Прогнозного объема основных медицинских услуг</w:t>
      </w:r>
      <w:r w:rsidR="000D5A39" w:rsidRPr="00D53B35">
        <w:rPr>
          <w:rFonts w:cstheme="minorHAnsi"/>
        </w:rPr>
        <w:t>, указанн</w:t>
      </w:r>
      <w:r w:rsidR="005F3B49">
        <w:rPr>
          <w:rFonts w:cstheme="minorHAnsi"/>
        </w:rPr>
        <w:t>ы</w:t>
      </w:r>
      <w:r w:rsidR="000D5A39" w:rsidRPr="00D53B35">
        <w:rPr>
          <w:rFonts w:cstheme="minorHAnsi"/>
        </w:rPr>
        <w:t>е в пункт</w:t>
      </w:r>
      <w:r w:rsidR="005F3B49">
        <w:rPr>
          <w:rFonts w:cstheme="minorHAnsi"/>
        </w:rPr>
        <w:t>е</w:t>
      </w:r>
      <w:r w:rsidR="000D5A39" w:rsidRPr="00D53B35">
        <w:rPr>
          <w:rFonts w:cstheme="minorHAnsi"/>
        </w:rPr>
        <w:t xml:space="preserve"> 1 </w:t>
      </w:r>
      <w:r w:rsidR="005F3B49">
        <w:rPr>
          <w:rFonts w:cstheme="minorHAnsi"/>
        </w:rPr>
        <w:t xml:space="preserve">раздела </w:t>
      </w:r>
      <w:r w:rsidR="005F3B49" w:rsidRPr="00FA28EC">
        <w:t>I</w:t>
      </w:r>
      <w:r w:rsidR="00AF1958">
        <w:rPr>
          <w:lang w:val="en-US"/>
        </w:rPr>
        <w:t>I</w:t>
      </w:r>
      <w:r w:rsidR="005F3B49" w:rsidRPr="005F3B49">
        <w:rPr>
          <w:rFonts w:cstheme="minorHAnsi"/>
        </w:rPr>
        <w:t xml:space="preserve"> </w:t>
      </w:r>
      <w:r w:rsidR="005F3B49">
        <w:rPr>
          <w:rFonts w:cstheme="minorHAnsi"/>
        </w:rPr>
        <w:t>настоящего Приложения 15</w:t>
      </w:r>
      <w:r w:rsidR="0020225E">
        <w:rPr>
          <w:rFonts w:cstheme="minorHAnsi"/>
        </w:rPr>
        <w:t>,</w:t>
      </w:r>
      <w:r w:rsidR="005F3B49">
        <w:rPr>
          <w:rFonts w:cstheme="minorHAnsi"/>
        </w:rPr>
        <w:t xml:space="preserve"> представлены в виде Таблицы 1</w:t>
      </w:r>
      <w:r w:rsidR="00D57DBE">
        <w:rPr>
          <w:rFonts w:cstheme="minorHAnsi"/>
        </w:rPr>
        <w:t xml:space="preserve"> «Прогнозные показатели в отношении </w:t>
      </w:r>
      <w:r w:rsidR="007E261F">
        <w:rPr>
          <w:rFonts w:cstheme="minorHAnsi"/>
        </w:rPr>
        <w:t xml:space="preserve">минимального </w:t>
      </w:r>
      <w:r w:rsidR="00D57DBE">
        <w:rPr>
          <w:rFonts w:cstheme="minorHAnsi"/>
        </w:rPr>
        <w:t xml:space="preserve">количества случаев госпитализации </w:t>
      </w:r>
      <w:r w:rsidR="00D57DBE" w:rsidRPr="00D53B35">
        <w:rPr>
          <w:rFonts w:cstheme="minorHAnsi"/>
        </w:rPr>
        <w:t xml:space="preserve">пациентов </w:t>
      </w:r>
      <w:r w:rsidR="00D57DBE">
        <w:rPr>
          <w:rFonts w:cstheme="minorHAnsi"/>
        </w:rPr>
        <w:t>в стационарных условиях по территориальной программе ОМС Республики Татарстан</w:t>
      </w:r>
      <w:r w:rsidR="000B4972">
        <w:rPr>
          <w:rFonts w:cstheme="minorHAnsi"/>
        </w:rPr>
        <w:t xml:space="preserve"> </w:t>
      </w:r>
      <w:r w:rsidR="000B4972" w:rsidRPr="000B4972">
        <w:rPr>
          <w:rFonts w:cstheme="minorHAnsi"/>
        </w:rPr>
        <w:t>за каждый календарный год Эксплуатации</w:t>
      </w:r>
      <w:r w:rsidR="00D57DBE">
        <w:rPr>
          <w:rFonts w:cstheme="minorHAnsi"/>
        </w:rPr>
        <w:t>»</w:t>
      </w:r>
      <w:r w:rsidR="005F3B49">
        <w:rPr>
          <w:rFonts w:cstheme="minorHAnsi"/>
        </w:rPr>
        <w:t>, прилагаемой к настоящему Приложению 15.</w:t>
      </w:r>
      <w:r w:rsidR="000D5A39" w:rsidRPr="00D53B35">
        <w:rPr>
          <w:rFonts w:cstheme="minorHAnsi"/>
        </w:rPr>
        <w:t xml:space="preserve"> В случае каких-либо противоречий между </w:t>
      </w:r>
      <w:r w:rsidR="000D5A39">
        <w:rPr>
          <w:rFonts w:cstheme="minorHAnsi"/>
        </w:rPr>
        <w:t xml:space="preserve">разделом </w:t>
      </w:r>
      <w:r w:rsidR="000D5A39" w:rsidRPr="00FA28EC">
        <w:t>I</w:t>
      </w:r>
      <w:r w:rsidR="00AF1958">
        <w:rPr>
          <w:lang w:val="en-US"/>
        </w:rPr>
        <w:t>I</w:t>
      </w:r>
      <w:r w:rsidR="000D5A39" w:rsidRPr="00D53B35">
        <w:rPr>
          <w:rFonts w:cstheme="minorHAnsi"/>
        </w:rPr>
        <w:t xml:space="preserve"> </w:t>
      </w:r>
      <w:r w:rsidR="005F3B49">
        <w:rPr>
          <w:rFonts w:cstheme="minorHAnsi"/>
        </w:rPr>
        <w:t xml:space="preserve">Приложения </w:t>
      </w:r>
      <w:r w:rsidR="00D867BB">
        <w:rPr>
          <w:rFonts w:cstheme="minorHAnsi"/>
        </w:rPr>
        <w:t xml:space="preserve">№ </w:t>
      </w:r>
      <w:r w:rsidR="005F3B49">
        <w:rPr>
          <w:rFonts w:cstheme="minorHAnsi"/>
        </w:rPr>
        <w:t xml:space="preserve">15 </w:t>
      </w:r>
      <w:r w:rsidR="000D5A39" w:rsidRPr="00D53B35">
        <w:rPr>
          <w:rFonts w:cstheme="minorHAnsi"/>
        </w:rPr>
        <w:t xml:space="preserve">и </w:t>
      </w:r>
      <w:r w:rsidR="005F3B49">
        <w:rPr>
          <w:rFonts w:cstheme="minorHAnsi"/>
        </w:rPr>
        <w:t>Таблицей</w:t>
      </w:r>
      <w:r w:rsidR="000D5A39" w:rsidRPr="00D53B35">
        <w:rPr>
          <w:rFonts w:cstheme="minorHAnsi"/>
        </w:rPr>
        <w:t xml:space="preserve"> 1 </w:t>
      </w:r>
      <w:r w:rsidR="000D5A39">
        <w:rPr>
          <w:rFonts w:cstheme="minorHAnsi"/>
        </w:rPr>
        <w:t>преимущество имеют</w:t>
      </w:r>
      <w:r w:rsidR="000D5A39" w:rsidRPr="00D53B35">
        <w:rPr>
          <w:rFonts w:cstheme="minorHAnsi"/>
        </w:rPr>
        <w:t xml:space="preserve"> </w:t>
      </w:r>
      <w:r w:rsidR="000D5A39">
        <w:rPr>
          <w:rFonts w:cstheme="minorHAnsi"/>
        </w:rPr>
        <w:t xml:space="preserve">положения раздела </w:t>
      </w:r>
      <w:r w:rsidR="000D5A39" w:rsidRPr="00FA28EC">
        <w:t>I</w:t>
      </w:r>
      <w:r w:rsidR="00AF1958">
        <w:rPr>
          <w:lang w:val="en-US"/>
        </w:rPr>
        <w:t>I</w:t>
      </w:r>
      <w:r w:rsidR="005F3B49">
        <w:rPr>
          <w:rFonts w:cstheme="minorHAnsi"/>
        </w:rPr>
        <w:t xml:space="preserve"> Приложения</w:t>
      </w:r>
      <w:r w:rsidR="00D867BB">
        <w:rPr>
          <w:rFonts w:cstheme="minorHAnsi"/>
        </w:rPr>
        <w:t xml:space="preserve"> №</w:t>
      </w:r>
      <w:r w:rsidR="005F3B49">
        <w:rPr>
          <w:rFonts w:cstheme="minorHAnsi"/>
        </w:rPr>
        <w:t xml:space="preserve"> 15</w:t>
      </w:r>
      <w:r w:rsidR="000D5A39" w:rsidRPr="00D53B35">
        <w:rPr>
          <w:rFonts w:cstheme="minorHAnsi"/>
        </w:rPr>
        <w:t>.</w:t>
      </w:r>
    </w:p>
    <w:p w14:paraId="3CF843F1" w14:textId="54BDD9E4" w:rsidR="005F3B49" w:rsidRPr="00C6134B" w:rsidRDefault="00A836C8" w:rsidP="00FA28EC">
      <w:pPr>
        <w:pStyle w:val="ListParagraph"/>
        <w:numPr>
          <w:ilvl w:val="0"/>
          <w:numId w:val="15"/>
        </w:numPr>
        <w:spacing w:after="240" w:line="259" w:lineRule="auto"/>
        <w:ind w:left="567" w:hanging="56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Гарантии по выручке (</w:t>
      </w:r>
      <w:r w:rsidR="005F3B49">
        <w:rPr>
          <w:rFonts w:cstheme="minorHAnsi"/>
          <w:b/>
          <w:bCs/>
        </w:rPr>
        <w:t xml:space="preserve">Минимальный прогнозный объем </w:t>
      </w:r>
      <w:r w:rsidR="00C6134B">
        <w:rPr>
          <w:rFonts w:cstheme="minorHAnsi"/>
          <w:b/>
          <w:bCs/>
        </w:rPr>
        <w:t>выручки Частного партнера за оказанные в соответствии с Соглашением Основные медицинские услуги</w:t>
      </w:r>
      <w:r>
        <w:rPr>
          <w:rFonts w:cstheme="minorHAnsi"/>
          <w:b/>
          <w:bCs/>
        </w:rPr>
        <w:t>). Гарантии по тарифам</w:t>
      </w:r>
      <w:r w:rsidR="00C6134B">
        <w:rPr>
          <w:rFonts w:cstheme="minorHAnsi"/>
          <w:b/>
          <w:bCs/>
        </w:rPr>
        <w:t xml:space="preserve"> </w:t>
      </w:r>
    </w:p>
    <w:p w14:paraId="1B53361E" w14:textId="656052AA" w:rsidR="005F3B49" w:rsidRDefault="005F3B49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Заключая настоящее Соглашение, Стороны исходят из того, что </w:t>
      </w:r>
      <w:r w:rsidR="001671EA">
        <w:rPr>
          <w:rFonts w:cstheme="minorHAnsi"/>
        </w:rPr>
        <w:t xml:space="preserve">за каждый календарный год Эксплуатации </w:t>
      </w:r>
      <w:r>
        <w:rPr>
          <w:rFonts w:cstheme="minorHAnsi"/>
        </w:rPr>
        <w:t xml:space="preserve">на Объекте </w:t>
      </w:r>
      <w:r w:rsidR="005F51F3">
        <w:rPr>
          <w:rFonts w:cstheme="minorHAnsi"/>
        </w:rPr>
        <w:t xml:space="preserve">соглашения </w:t>
      </w:r>
      <w:r>
        <w:rPr>
          <w:rFonts w:cstheme="minorHAnsi"/>
        </w:rPr>
        <w:t xml:space="preserve">будут достигнуты следующие </w:t>
      </w:r>
      <w:r w:rsidR="00A836C8">
        <w:rPr>
          <w:rFonts w:cstheme="minorHAnsi"/>
        </w:rPr>
        <w:t xml:space="preserve">минимальные </w:t>
      </w:r>
      <w:r>
        <w:rPr>
          <w:rFonts w:cstheme="minorHAnsi"/>
        </w:rPr>
        <w:t xml:space="preserve">показатели </w:t>
      </w:r>
      <w:r w:rsidR="002A07DF">
        <w:rPr>
          <w:rFonts w:cstheme="minorHAnsi"/>
        </w:rPr>
        <w:t xml:space="preserve">выручки Частного партнера за оказанные на Объекте </w:t>
      </w:r>
      <w:r w:rsidR="005F51F3">
        <w:rPr>
          <w:rFonts w:cstheme="minorHAnsi"/>
        </w:rPr>
        <w:t xml:space="preserve">соглашения </w:t>
      </w:r>
      <w:r w:rsidR="002A07DF">
        <w:rPr>
          <w:rFonts w:cstheme="minorHAnsi"/>
        </w:rPr>
        <w:t xml:space="preserve">Основные </w:t>
      </w:r>
      <w:r w:rsidR="002A07DF">
        <w:rPr>
          <w:rFonts w:cstheme="minorHAnsi"/>
        </w:rPr>
        <w:lastRenderedPageBreak/>
        <w:t>медицинские услуги</w:t>
      </w:r>
      <w:r w:rsidR="002A07DF" w:rsidRPr="00D53B35">
        <w:rPr>
          <w:rFonts w:cstheme="minorHAnsi"/>
        </w:rPr>
        <w:t xml:space="preserve"> </w:t>
      </w:r>
      <w:r w:rsidR="002A07DF">
        <w:rPr>
          <w:rFonts w:cstheme="minorHAnsi"/>
        </w:rPr>
        <w:t>в стационарных условиях по территориальной программе ОМС Республики Татарстан</w:t>
      </w:r>
      <w:r w:rsidR="00B13A89">
        <w:rPr>
          <w:rFonts w:cstheme="minorHAnsi"/>
        </w:rPr>
        <w:t xml:space="preserve"> по клинико-статистическим группам, указанным в разделе </w:t>
      </w:r>
      <w:r w:rsidR="004022ED">
        <w:rPr>
          <w:rFonts w:cstheme="minorHAnsi"/>
          <w:lang w:val="en-US"/>
        </w:rPr>
        <w:t>II</w:t>
      </w:r>
      <w:r w:rsidR="004022ED">
        <w:rPr>
          <w:rFonts w:cstheme="minorHAnsi"/>
        </w:rPr>
        <w:t xml:space="preserve"> </w:t>
      </w:r>
      <w:r w:rsidR="00B13A89">
        <w:rPr>
          <w:rFonts w:cstheme="minorHAnsi"/>
        </w:rPr>
        <w:t>Приложения</w:t>
      </w:r>
      <w:r w:rsidR="00D867BB">
        <w:rPr>
          <w:rFonts w:cstheme="minorHAnsi"/>
        </w:rPr>
        <w:t xml:space="preserve"> №</w:t>
      </w:r>
      <w:r w:rsidR="00B13A89">
        <w:rPr>
          <w:rFonts w:cstheme="minorHAnsi"/>
        </w:rPr>
        <w:t xml:space="preserve"> 15</w:t>
      </w:r>
      <w:r w:rsidR="00ED665D">
        <w:rPr>
          <w:rFonts w:cstheme="minorHAnsi"/>
        </w:rPr>
        <w:t xml:space="preserve"> (далее – «</w:t>
      </w:r>
      <w:r w:rsidR="00ED665D" w:rsidRPr="00FA28EC">
        <w:rPr>
          <w:b/>
        </w:rPr>
        <w:t>Прогнозные показатели выручки Частного партнера</w:t>
      </w:r>
      <w:r w:rsidR="00ED665D">
        <w:rPr>
          <w:rFonts w:cstheme="minorHAnsi"/>
        </w:rPr>
        <w:t>»)</w:t>
      </w:r>
      <w:r w:rsidR="002A07DF" w:rsidRPr="00D53B35">
        <w:rPr>
          <w:rFonts w:cstheme="minorHAnsi"/>
        </w:rPr>
        <w:t>:</w:t>
      </w:r>
      <w:r w:rsidR="002A07DF">
        <w:rPr>
          <w:rFonts w:cstheme="minorHAnsi"/>
        </w:rPr>
        <w:t xml:space="preserve"> </w:t>
      </w:r>
    </w:p>
    <w:p w14:paraId="1317E3A4" w14:textId="6DA6EA3D" w:rsidR="001671EA" w:rsidRDefault="00B13A89" w:rsidP="00FA28EC">
      <w:pPr>
        <w:pStyle w:val="ListParagraph"/>
        <w:numPr>
          <w:ilvl w:val="1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>О</w:t>
      </w:r>
      <w:r w:rsidR="00F439CA">
        <w:rPr>
          <w:rFonts w:cstheme="minorHAnsi"/>
        </w:rPr>
        <w:t>бщее количество законченных случаев лечения – не менее 3160 (трех тысяч ста шестидесяти)</w:t>
      </w:r>
      <w:r w:rsidR="002A6B38">
        <w:rPr>
          <w:rFonts w:cstheme="minorHAnsi"/>
        </w:rPr>
        <w:t>; общая стоимость законченных случаев</w:t>
      </w:r>
      <w:r w:rsidR="00425A30">
        <w:rPr>
          <w:rFonts w:cstheme="minorHAnsi"/>
        </w:rPr>
        <w:t xml:space="preserve"> лечения</w:t>
      </w:r>
      <w:r w:rsidR="002A6B38">
        <w:rPr>
          <w:rFonts w:cstheme="minorHAnsi"/>
        </w:rPr>
        <w:t xml:space="preserve">, оплата по которым </w:t>
      </w:r>
      <w:r w:rsidR="002A6B38" w:rsidRPr="00FA28EC">
        <w:t>получена</w:t>
      </w:r>
      <w:r w:rsidR="002A6B38">
        <w:rPr>
          <w:rFonts w:cstheme="minorHAnsi"/>
        </w:rPr>
        <w:t xml:space="preserve"> Частным партнером, – не менее </w:t>
      </w:r>
      <w:r w:rsidR="002A6B38" w:rsidRPr="002A6B38">
        <w:rPr>
          <w:rFonts w:cstheme="minorHAnsi"/>
        </w:rPr>
        <w:t>199 986</w:t>
      </w:r>
      <w:r w:rsidR="002A6B38">
        <w:rPr>
          <w:rFonts w:cstheme="minorHAnsi"/>
        </w:rPr>
        <w:t> </w:t>
      </w:r>
      <w:r w:rsidR="002A6B38" w:rsidRPr="002A6B38">
        <w:rPr>
          <w:rFonts w:cstheme="minorHAnsi"/>
        </w:rPr>
        <w:t>113</w:t>
      </w:r>
      <w:r w:rsidR="002A6B38">
        <w:rPr>
          <w:rFonts w:cstheme="minorHAnsi"/>
        </w:rPr>
        <w:t xml:space="preserve"> (ста девяноста девяти миллионов девятисот восьмидесяти шести тысяч</w:t>
      </w:r>
      <w:r w:rsidR="002A384D">
        <w:rPr>
          <w:rFonts w:cstheme="minorHAnsi"/>
        </w:rPr>
        <w:t xml:space="preserve"> ста тринадцати</w:t>
      </w:r>
      <w:r w:rsidR="0031252E">
        <w:rPr>
          <w:rFonts w:cstheme="minorHAnsi"/>
        </w:rPr>
        <w:t>)</w:t>
      </w:r>
      <w:r w:rsidR="002A384D">
        <w:rPr>
          <w:rFonts w:cstheme="minorHAnsi"/>
        </w:rPr>
        <w:t xml:space="preserve"> рублей</w:t>
      </w:r>
      <w:r w:rsidR="0031252E">
        <w:rPr>
          <w:rFonts w:cstheme="minorHAnsi"/>
        </w:rPr>
        <w:t xml:space="preserve"> 90 копеек</w:t>
      </w:r>
      <w:r w:rsidR="002A384D">
        <w:rPr>
          <w:rFonts w:cstheme="minorHAnsi"/>
        </w:rPr>
        <w:t>, из которых:</w:t>
      </w:r>
    </w:p>
    <w:p w14:paraId="64591678" w14:textId="53DEB3F5" w:rsidR="0031252E" w:rsidRDefault="00C110F6" w:rsidP="00FA28EC">
      <w:pPr>
        <w:pStyle w:val="ListParagraph"/>
        <w:numPr>
          <w:ilvl w:val="2"/>
          <w:numId w:val="20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E53DDF">
        <w:rPr>
          <w:rFonts w:cstheme="minorHAnsi"/>
        </w:rPr>
        <w:t xml:space="preserve">по клинико-статистической группе «Медицинская реабилитация пациентов с заболеваниями </w:t>
      </w:r>
      <w:r>
        <w:rPr>
          <w:rFonts w:cstheme="minorHAnsi"/>
        </w:rPr>
        <w:t>опорно-двигательного аппарата и периферической нервной системы</w:t>
      </w:r>
      <w:r w:rsidRPr="00E53DDF">
        <w:rPr>
          <w:rFonts w:cstheme="minorHAnsi"/>
        </w:rPr>
        <w:t xml:space="preserve"> (3 балла по ШРМ)» (код КСГ st37.00</w:t>
      </w:r>
      <w:r>
        <w:rPr>
          <w:rFonts w:cstheme="minorHAnsi"/>
        </w:rPr>
        <w:t>5</w:t>
      </w:r>
      <w:r w:rsidRPr="00E53DDF">
        <w:rPr>
          <w:rFonts w:cstheme="minorHAnsi"/>
        </w:rPr>
        <w:t>)</w:t>
      </w:r>
      <w:r w:rsidR="00DD0E2C">
        <w:rPr>
          <w:rFonts w:cstheme="minorHAnsi"/>
        </w:rPr>
        <w:t>:</w:t>
      </w:r>
      <w:r w:rsidRPr="00E53DDF">
        <w:rPr>
          <w:rFonts w:cstheme="minorHAnsi"/>
        </w:rPr>
        <w:t xml:space="preserve"> не менее 1</w:t>
      </w:r>
      <w:r>
        <w:rPr>
          <w:rFonts w:cstheme="minorHAnsi"/>
        </w:rPr>
        <w:t>3</w:t>
      </w:r>
      <w:r w:rsidRPr="00E53DDF">
        <w:rPr>
          <w:rFonts w:cstheme="minorHAnsi"/>
        </w:rPr>
        <w:t xml:space="preserve">0 (ста </w:t>
      </w:r>
      <w:r>
        <w:rPr>
          <w:rFonts w:cstheme="minorHAnsi"/>
        </w:rPr>
        <w:t>тридца</w:t>
      </w:r>
      <w:r w:rsidRPr="00E53DDF">
        <w:rPr>
          <w:rFonts w:cstheme="minorHAnsi"/>
        </w:rPr>
        <w:t xml:space="preserve">ти) </w:t>
      </w:r>
      <w:r w:rsidR="00DD0E2C">
        <w:rPr>
          <w:rFonts w:cstheme="minorHAnsi"/>
        </w:rPr>
        <w:t xml:space="preserve">законченных </w:t>
      </w:r>
      <w:r w:rsidRPr="00E53DDF">
        <w:rPr>
          <w:rFonts w:cstheme="minorHAnsi"/>
        </w:rPr>
        <w:t xml:space="preserve">случаев </w:t>
      </w:r>
      <w:r w:rsidR="00DD0E2C">
        <w:rPr>
          <w:rFonts w:cstheme="minorHAnsi"/>
        </w:rPr>
        <w:t xml:space="preserve">лечения; </w:t>
      </w:r>
      <w:r w:rsidR="00D714F8">
        <w:rPr>
          <w:rFonts w:cstheme="minorHAnsi"/>
        </w:rPr>
        <w:t>стоимость одного законченного случая</w:t>
      </w:r>
      <w:r w:rsidR="00623081">
        <w:rPr>
          <w:rFonts w:cstheme="minorHAnsi"/>
        </w:rPr>
        <w:t xml:space="preserve"> </w:t>
      </w:r>
      <w:r w:rsidR="00425A30">
        <w:rPr>
          <w:rFonts w:cstheme="minorHAnsi"/>
        </w:rPr>
        <w:t xml:space="preserve">лечения </w:t>
      </w:r>
      <w:r w:rsidR="00623081">
        <w:rPr>
          <w:rFonts w:cstheme="minorHAnsi"/>
        </w:rPr>
        <w:t>(тариф ОМС)</w:t>
      </w:r>
      <w:r w:rsidR="00D714F8">
        <w:rPr>
          <w:rFonts w:cstheme="minorHAnsi"/>
        </w:rPr>
        <w:t xml:space="preserve"> – не менее</w:t>
      </w:r>
      <w:r w:rsidR="00623081">
        <w:rPr>
          <w:rFonts w:cstheme="minorHAnsi"/>
        </w:rPr>
        <w:t xml:space="preserve"> </w:t>
      </w:r>
      <w:r w:rsidR="00623081" w:rsidRPr="00623081">
        <w:rPr>
          <w:rFonts w:cstheme="minorHAnsi"/>
        </w:rPr>
        <w:t>34</w:t>
      </w:r>
      <w:r w:rsidR="00623081">
        <w:rPr>
          <w:rFonts w:cstheme="minorHAnsi"/>
        </w:rPr>
        <w:t> </w:t>
      </w:r>
      <w:r w:rsidR="00623081" w:rsidRPr="00623081">
        <w:rPr>
          <w:rFonts w:cstheme="minorHAnsi"/>
        </w:rPr>
        <w:t>989</w:t>
      </w:r>
      <w:r w:rsidR="00623081">
        <w:rPr>
          <w:rFonts w:cstheme="minorHAnsi"/>
        </w:rPr>
        <w:t xml:space="preserve"> (тридцати четырех тысяч девятисот восьмидесяти девяти) рублей </w:t>
      </w:r>
      <w:r w:rsidR="00623081" w:rsidRPr="00623081">
        <w:rPr>
          <w:rFonts w:cstheme="minorHAnsi"/>
        </w:rPr>
        <w:t>74</w:t>
      </w:r>
      <w:r w:rsidR="00623081">
        <w:rPr>
          <w:rFonts w:cstheme="minorHAnsi"/>
        </w:rPr>
        <w:t xml:space="preserve"> копеек;</w:t>
      </w:r>
      <w:r w:rsidR="00D714F8">
        <w:rPr>
          <w:rFonts w:cstheme="minorHAnsi"/>
        </w:rPr>
        <w:t xml:space="preserve"> </w:t>
      </w:r>
      <w:r w:rsidR="00DD0E2C">
        <w:rPr>
          <w:rFonts w:cstheme="minorHAnsi"/>
        </w:rPr>
        <w:t>общая стоимость законченных случаев</w:t>
      </w:r>
      <w:r w:rsidR="00425A30" w:rsidRPr="00425A30">
        <w:rPr>
          <w:rFonts w:cstheme="minorHAnsi"/>
        </w:rPr>
        <w:t xml:space="preserve"> </w:t>
      </w:r>
      <w:r w:rsidR="00425A30">
        <w:rPr>
          <w:rFonts w:cstheme="minorHAnsi"/>
        </w:rPr>
        <w:t>лечения</w:t>
      </w:r>
      <w:r w:rsidR="00DD0E2C">
        <w:rPr>
          <w:rFonts w:cstheme="minorHAnsi"/>
        </w:rPr>
        <w:t xml:space="preserve">, оплата по которым </w:t>
      </w:r>
      <w:r w:rsidR="00DD0E2C" w:rsidRPr="00FA28EC">
        <w:t>получена</w:t>
      </w:r>
      <w:r w:rsidR="00DD0E2C">
        <w:rPr>
          <w:rFonts w:cstheme="minorHAnsi"/>
        </w:rPr>
        <w:t xml:space="preserve"> Частным партнером, – не менее </w:t>
      </w:r>
      <w:r w:rsidR="0031252E" w:rsidRPr="0031252E">
        <w:rPr>
          <w:rFonts w:cstheme="minorHAnsi"/>
        </w:rPr>
        <w:t>4 548 666</w:t>
      </w:r>
      <w:r w:rsidR="0031252E">
        <w:rPr>
          <w:rFonts w:cstheme="minorHAnsi"/>
        </w:rPr>
        <w:t xml:space="preserve"> </w:t>
      </w:r>
      <w:r w:rsidR="00DD0E2C">
        <w:rPr>
          <w:rFonts w:cstheme="minorHAnsi"/>
        </w:rPr>
        <w:t>(</w:t>
      </w:r>
      <w:r w:rsidR="0031252E">
        <w:rPr>
          <w:rFonts w:cstheme="minorHAnsi"/>
        </w:rPr>
        <w:t>четырех миллионов пятисот сорока восьми тысяч шестисот шестидесяти шести)</w:t>
      </w:r>
      <w:r w:rsidR="00DD0E2C">
        <w:rPr>
          <w:rFonts w:cstheme="minorHAnsi"/>
        </w:rPr>
        <w:t xml:space="preserve"> рублей</w:t>
      </w:r>
      <w:r w:rsidR="0031252E">
        <w:rPr>
          <w:rFonts w:cstheme="minorHAnsi"/>
        </w:rPr>
        <w:t xml:space="preserve"> 20 копеек;</w:t>
      </w:r>
    </w:p>
    <w:p w14:paraId="170F6036" w14:textId="558547DA" w:rsidR="00BE2D63" w:rsidRDefault="00BE2D63" w:rsidP="00FA28EC">
      <w:pPr>
        <w:pStyle w:val="ListParagraph"/>
        <w:numPr>
          <w:ilvl w:val="2"/>
          <w:numId w:val="20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E53DDF">
        <w:rPr>
          <w:rFonts w:cstheme="minorHAnsi"/>
        </w:rPr>
        <w:t xml:space="preserve">по клинико-статистической группе «Медицинская реабилитация пациентов с заболеваниями </w:t>
      </w:r>
      <w:r>
        <w:rPr>
          <w:rFonts w:cstheme="minorHAnsi"/>
        </w:rPr>
        <w:t>опорно-двигательного аппарата и периферической нервной системы</w:t>
      </w:r>
      <w:r w:rsidRPr="00E53DDF">
        <w:rPr>
          <w:rFonts w:cstheme="minorHAnsi"/>
        </w:rPr>
        <w:t xml:space="preserve"> (</w:t>
      </w:r>
      <w:r>
        <w:rPr>
          <w:rFonts w:cstheme="minorHAnsi"/>
        </w:rPr>
        <w:t>4</w:t>
      </w:r>
      <w:r w:rsidRPr="00E53DDF">
        <w:rPr>
          <w:rFonts w:cstheme="minorHAnsi"/>
        </w:rPr>
        <w:t xml:space="preserve"> балла по ШРМ) (уровень 2)» (код КСГ st37.00</w:t>
      </w:r>
      <w:r>
        <w:rPr>
          <w:rFonts w:cstheme="minorHAnsi"/>
        </w:rPr>
        <w:t>6.2</w:t>
      </w:r>
      <w:r w:rsidRPr="00E53DDF">
        <w:rPr>
          <w:rFonts w:cstheme="minorHAnsi"/>
        </w:rPr>
        <w:t>) – не менее 1</w:t>
      </w:r>
      <w:r>
        <w:rPr>
          <w:rFonts w:cstheme="minorHAnsi"/>
        </w:rPr>
        <w:t>23</w:t>
      </w:r>
      <w:r w:rsidRPr="00E53DDF">
        <w:rPr>
          <w:rFonts w:cstheme="minorHAnsi"/>
        </w:rPr>
        <w:t>0 (</w:t>
      </w:r>
      <w:r>
        <w:rPr>
          <w:rFonts w:cstheme="minorHAnsi"/>
        </w:rPr>
        <w:t>одной тысячи двухсот</w:t>
      </w:r>
      <w:r w:rsidRPr="00E53DDF">
        <w:rPr>
          <w:rFonts w:cstheme="minorHAnsi"/>
        </w:rPr>
        <w:t xml:space="preserve"> </w:t>
      </w:r>
      <w:r>
        <w:rPr>
          <w:rFonts w:cstheme="minorHAnsi"/>
        </w:rPr>
        <w:t>тридца</w:t>
      </w:r>
      <w:r w:rsidRPr="00E53DDF">
        <w:rPr>
          <w:rFonts w:cstheme="minorHAnsi"/>
        </w:rPr>
        <w:t xml:space="preserve">ти) </w:t>
      </w:r>
      <w:r>
        <w:rPr>
          <w:rFonts w:cstheme="minorHAnsi"/>
        </w:rPr>
        <w:t xml:space="preserve">законченных </w:t>
      </w:r>
      <w:r w:rsidRPr="00E53DDF">
        <w:rPr>
          <w:rFonts w:cstheme="minorHAnsi"/>
        </w:rPr>
        <w:t xml:space="preserve">случаев </w:t>
      </w:r>
      <w:r>
        <w:rPr>
          <w:rFonts w:cstheme="minorHAnsi"/>
        </w:rPr>
        <w:t xml:space="preserve">лечения; </w:t>
      </w:r>
      <w:r w:rsidR="00623081">
        <w:rPr>
          <w:rFonts w:cstheme="minorHAnsi"/>
        </w:rPr>
        <w:t xml:space="preserve">стоимость одного законченного случая </w:t>
      </w:r>
      <w:r w:rsidR="00425A30">
        <w:rPr>
          <w:rFonts w:cstheme="minorHAnsi"/>
        </w:rPr>
        <w:t xml:space="preserve">лечения </w:t>
      </w:r>
      <w:r w:rsidR="00623081">
        <w:rPr>
          <w:rFonts w:cstheme="minorHAnsi"/>
        </w:rPr>
        <w:t xml:space="preserve">(тариф ОМС) – не менее </w:t>
      </w:r>
      <w:r w:rsidR="00623081" w:rsidRPr="00623081">
        <w:rPr>
          <w:rFonts w:cstheme="minorHAnsi"/>
        </w:rPr>
        <w:t>55 588,54</w:t>
      </w:r>
      <w:r w:rsidR="00623081">
        <w:rPr>
          <w:rFonts w:cstheme="minorHAnsi"/>
        </w:rPr>
        <w:t xml:space="preserve"> (пятидесяти пяти тысяч пятисот восьмидесяти восьми) рублей </w:t>
      </w:r>
      <w:r w:rsidR="008C7D58">
        <w:rPr>
          <w:rFonts w:cstheme="minorHAnsi"/>
        </w:rPr>
        <w:t>5</w:t>
      </w:r>
      <w:r w:rsidR="00623081" w:rsidRPr="00623081">
        <w:rPr>
          <w:rFonts w:cstheme="minorHAnsi"/>
        </w:rPr>
        <w:t>4</w:t>
      </w:r>
      <w:r w:rsidR="00623081">
        <w:rPr>
          <w:rFonts w:cstheme="minorHAnsi"/>
        </w:rPr>
        <w:t xml:space="preserve"> копеек; </w:t>
      </w:r>
      <w:r>
        <w:rPr>
          <w:rFonts w:cstheme="minorHAnsi"/>
        </w:rPr>
        <w:t>общая стоимость законченных случаев</w:t>
      </w:r>
      <w:r w:rsidR="00425A30" w:rsidRPr="00425A30">
        <w:rPr>
          <w:rFonts w:cstheme="minorHAnsi"/>
        </w:rPr>
        <w:t xml:space="preserve"> </w:t>
      </w:r>
      <w:r w:rsidR="00425A30">
        <w:rPr>
          <w:rFonts w:cstheme="minorHAnsi"/>
        </w:rPr>
        <w:t>лечения</w:t>
      </w:r>
      <w:r>
        <w:rPr>
          <w:rFonts w:cstheme="minorHAnsi"/>
        </w:rPr>
        <w:t xml:space="preserve">, оплата по которым </w:t>
      </w:r>
      <w:r w:rsidRPr="00FA28EC">
        <w:t>получена</w:t>
      </w:r>
      <w:r>
        <w:rPr>
          <w:rFonts w:cstheme="minorHAnsi"/>
        </w:rPr>
        <w:t xml:space="preserve"> Частным партнером, – не менее </w:t>
      </w:r>
      <w:r w:rsidR="00D714F8" w:rsidRPr="00D714F8">
        <w:rPr>
          <w:rFonts w:cstheme="minorHAnsi"/>
        </w:rPr>
        <w:t>68 373 904</w:t>
      </w:r>
      <w:r>
        <w:rPr>
          <w:rFonts w:cstheme="minorHAnsi"/>
        </w:rPr>
        <w:t xml:space="preserve"> (</w:t>
      </w:r>
      <w:r w:rsidR="00D714F8">
        <w:rPr>
          <w:rFonts w:cstheme="minorHAnsi"/>
        </w:rPr>
        <w:t>шестидесяти восьми миллионов трехсот семидесяти трех тысяч девятисот четырех</w:t>
      </w:r>
      <w:r>
        <w:rPr>
          <w:rFonts w:cstheme="minorHAnsi"/>
        </w:rPr>
        <w:t>) рублей 20 копеек;</w:t>
      </w:r>
    </w:p>
    <w:p w14:paraId="50259BA6" w14:textId="49F7834C" w:rsidR="00C110F6" w:rsidRDefault="00FB3FDD" w:rsidP="00FA28EC">
      <w:pPr>
        <w:pStyle w:val="ListParagraph"/>
        <w:numPr>
          <w:ilvl w:val="2"/>
          <w:numId w:val="20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E53DDF">
        <w:rPr>
          <w:rFonts w:cstheme="minorHAnsi"/>
        </w:rPr>
        <w:t>по клинико-статистической группе «</w:t>
      </w:r>
      <w:r w:rsidR="000B4365" w:rsidRPr="00E53DDF">
        <w:rPr>
          <w:rFonts w:cstheme="minorHAnsi"/>
        </w:rPr>
        <w:t xml:space="preserve">Медицинская реабилитация пациентов с заболеваниями </w:t>
      </w:r>
      <w:r w:rsidR="000B4365">
        <w:rPr>
          <w:rFonts w:cstheme="minorHAnsi"/>
        </w:rPr>
        <w:t>опорно-двигательного аппарата и периферической нервной системы</w:t>
      </w:r>
      <w:r w:rsidR="000B4365" w:rsidRPr="00E53DDF">
        <w:rPr>
          <w:rFonts w:cstheme="minorHAnsi"/>
        </w:rPr>
        <w:t xml:space="preserve"> (</w:t>
      </w:r>
      <w:r w:rsidR="000B4365">
        <w:rPr>
          <w:rFonts w:cstheme="minorHAnsi"/>
        </w:rPr>
        <w:t>5</w:t>
      </w:r>
      <w:r w:rsidR="000B4365" w:rsidRPr="00E53DDF">
        <w:rPr>
          <w:rFonts w:cstheme="minorHAnsi"/>
        </w:rPr>
        <w:t xml:space="preserve"> балл</w:t>
      </w:r>
      <w:r w:rsidR="000B4365">
        <w:rPr>
          <w:rFonts w:cstheme="minorHAnsi"/>
        </w:rPr>
        <w:t>ов</w:t>
      </w:r>
      <w:r w:rsidR="000B4365" w:rsidRPr="00E53DDF">
        <w:rPr>
          <w:rFonts w:cstheme="minorHAnsi"/>
        </w:rPr>
        <w:t xml:space="preserve"> по ШРМ)» (код КСГ st37.00</w:t>
      </w:r>
      <w:r w:rsidR="000B4365">
        <w:rPr>
          <w:rFonts w:cstheme="minorHAnsi"/>
        </w:rPr>
        <w:t>7</w:t>
      </w:r>
      <w:r w:rsidR="000B4365" w:rsidRPr="00E53DDF">
        <w:rPr>
          <w:rFonts w:cstheme="minorHAnsi"/>
        </w:rPr>
        <w:t xml:space="preserve">) – не менее </w:t>
      </w:r>
      <w:r w:rsidR="000B4365">
        <w:rPr>
          <w:rFonts w:cstheme="minorHAnsi"/>
        </w:rPr>
        <w:t>3</w:t>
      </w:r>
      <w:r w:rsidR="000B4365" w:rsidRPr="00E53DDF">
        <w:rPr>
          <w:rFonts w:cstheme="minorHAnsi"/>
        </w:rPr>
        <w:t>0</w:t>
      </w:r>
      <w:r w:rsidR="000B4365">
        <w:rPr>
          <w:rFonts w:cstheme="minorHAnsi"/>
        </w:rPr>
        <w:t>0</w:t>
      </w:r>
      <w:r w:rsidR="000B4365" w:rsidRPr="00E53DDF">
        <w:rPr>
          <w:rFonts w:cstheme="minorHAnsi"/>
        </w:rPr>
        <w:t xml:space="preserve"> (</w:t>
      </w:r>
      <w:r w:rsidR="000B4365">
        <w:rPr>
          <w:rFonts w:cstheme="minorHAnsi"/>
        </w:rPr>
        <w:t>трехсот</w:t>
      </w:r>
      <w:r w:rsidR="000B4365" w:rsidRPr="00E53DDF">
        <w:rPr>
          <w:rFonts w:cstheme="minorHAnsi"/>
        </w:rPr>
        <w:t>)</w:t>
      </w:r>
      <w:r w:rsidRPr="00E53DDF">
        <w:rPr>
          <w:rFonts w:cstheme="minorHAnsi"/>
        </w:rPr>
        <w:t xml:space="preserve"> </w:t>
      </w:r>
      <w:r>
        <w:rPr>
          <w:rFonts w:cstheme="minorHAnsi"/>
        </w:rPr>
        <w:t xml:space="preserve">законченных </w:t>
      </w:r>
      <w:r w:rsidRPr="00E53DDF">
        <w:rPr>
          <w:rFonts w:cstheme="minorHAnsi"/>
        </w:rPr>
        <w:t xml:space="preserve">случаев </w:t>
      </w:r>
      <w:r>
        <w:rPr>
          <w:rFonts w:cstheme="minorHAnsi"/>
        </w:rPr>
        <w:t xml:space="preserve">лечения; стоимость одного законченного случая </w:t>
      </w:r>
      <w:r w:rsidR="00425A30">
        <w:rPr>
          <w:rFonts w:cstheme="minorHAnsi"/>
        </w:rPr>
        <w:t xml:space="preserve">лечения </w:t>
      </w:r>
      <w:r>
        <w:rPr>
          <w:rFonts w:cstheme="minorHAnsi"/>
        </w:rPr>
        <w:t xml:space="preserve">(тариф ОМС) – не менее </w:t>
      </w:r>
      <w:r w:rsidR="000B4365" w:rsidRPr="000B4365">
        <w:rPr>
          <w:rFonts w:cstheme="minorHAnsi"/>
        </w:rPr>
        <w:t>85 499</w:t>
      </w:r>
      <w:r>
        <w:rPr>
          <w:rFonts w:cstheme="minorHAnsi"/>
        </w:rPr>
        <w:t xml:space="preserve"> (</w:t>
      </w:r>
      <w:r w:rsidR="000B4365">
        <w:rPr>
          <w:rFonts w:cstheme="minorHAnsi"/>
        </w:rPr>
        <w:t>восьмидесяти пяти тысяч четырехсот девяноста девяти</w:t>
      </w:r>
      <w:r>
        <w:rPr>
          <w:rFonts w:cstheme="minorHAnsi"/>
        </w:rPr>
        <w:t xml:space="preserve">) рублей </w:t>
      </w:r>
      <w:r w:rsidR="000B4365">
        <w:rPr>
          <w:rFonts w:cstheme="minorHAnsi"/>
        </w:rPr>
        <w:t>12</w:t>
      </w:r>
      <w:r>
        <w:rPr>
          <w:rFonts w:cstheme="minorHAnsi"/>
        </w:rPr>
        <w:t xml:space="preserve"> копеек; общая стоимость законченных случаев</w:t>
      </w:r>
      <w:r w:rsidR="00425A30" w:rsidRPr="00425A30">
        <w:rPr>
          <w:rFonts w:cstheme="minorHAnsi"/>
        </w:rPr>
        <w:t xml:space="preserve"> </w:t>
      </w:r>
      <w:r w:rsidR="00425A30">
        <w:rPr>
          <w:rFonts w:cstheme="minorHAnsi"/>
        </w:rPr>
        <w:t>лечения</w:t>
      </w:r>
      <w:r>
        <w:rPr>
          <w:rFonts w:cstheme="minorHAnsi"/>
        </w:rPr>
        <w:t xml:space="preserve">, оплата по которым </w:t>
      </w:r>
      <w:r w:rsidRPr="00FA28EC">
        <w:t>получена</w:t>
      </w:r>
      <w:r>
        <w:rPr>
          <w:rFonts w:cstheme="minorHAnsi"/>
        </w:rPr>
        <w:t xml:space="preserve"> Частным партнером, – не менее </w:t>
      </w:r>
      <w:r w:rsidR="000B4365" w:rsidRPr="000B4365">
        <w:rPr>
          <w:rFonts w:cstheme="minorHAnsi"/>
        </w:rPr>
        <w:t>25 649 736</w:t>
      </w:r>
      <w:r>
        <w:rPr>
          <w:rFonts w:cstheme="minorHAnsi"/>
        </w:rPr>
        <w:t xml:space="preserve"> (</w:t>
      </w:r>
      <w:r w:rsidR="000B4365">
        <w:rPr>
          <w:rFonts w:cstheme="minorHAnsi"/>
        </w:rPr>
        <w:t>двадцати пяти миллионов шестисот сорока девяти тысяч семисот тридцати шести</w:t>
      </w:r>
      <w:r>
        <w:rPr>
          <w:rFonts w:cstheme="minorHAnsi"/>
        </w:rPr>
        <w:t>) рублей;</w:t>
      </w:r>
    </w:p>
    <w:p w14:paraId="51A34CF8" w14:textId="531CAF38" w:rsidR="002A384D" w:rsidRDefault="000B4365" w:rsidP="00FA28EC">
      <w:pPr>
        <w:pStyle w:val="ListParagraph"/>
        <w:numPr>
          <w:ilvl w:val="2"/>
          <w:numId w:val="20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E53DDF">
        <w:rPr>
          <w:rFonts w:cstheme="minorHAnsi"/>
        </w:rPr>
        <w:t>по клинико-статистической группе «</w:t>
      </w:r>
      <w:r w:rsidR="00913610" w:rsidRPr="00E53DDF">
        <w:rPr>
          <w:rFonts w:cstheme="minorHAnsi"/>
        </w:rPr>
        <w:t>Медицинская реабилитация пациентов с заболеваниями центральной нервной системы (3 балла по ШРМ) (уровень 2)» (код КСГ st37.001.2) – не менее 150 (ста пятидесяти)</w:t>
      </w:r>
      <w:r w:rsidRPr="00E53DDF">
        <w:rPr>
          <w:rFonts w:cstheme="minorHAnsi"/>
        </w:rPr>
        <w:t xml:space="preserve"> </w:t>
      </w:r>
      <w:r>
        <w:rPr>
          <w:rFonts w:cstheme="minorHAnsi"/>
        </w:rPr>
        <w:t xml:space="preserve">законченных </w:t>
      </w:r>
      <w:r w:rsidRPr="00E53DDF">
        <w:rPr>
          <w:rFonts w:cstheme="minorHAnsi"/>
        </w:rPr>
        <w:t xml:space="preserve">случаев </w:t>
      </w:r>
      <w:r>
        <w:rPr>
          <w:rFonts w:cstheme="minorHAnsi"/>
        </w:rPr>
        <w:t xml:space="preserve">лечения; стоимость одного законченного случая </w:t>
      </w:r>
      <w:r w:rsidR="00425A30">
        <w:rPr>
          <w:rFonts w:cstheme="minorHAnsi"/>
        </w:rPr>
        <w:t xml:space="preserve">лечения </w:t>
      </w:r>
      <w:r>
        <w:rPr>
          <w:rFonts w:cstheme="minorHAnsi"/>
        </w:rPr>
        <w:t xml:space="preserve">(тариф ОМС) – не менее </w:t>
      </w:r>
      <w:r w:rsidR="00913610" w:rsidRPr="00913610">
        <w:rPr>
          <w:rFonts w:cstheme="minorHAnsi"/>
        </w:rPr>
        <w:t>43 737</w:t>
      </w:r>
      <w:r>
        <w:rPr>
          <w:rFonts w:cstheme="minorHAnsi"/>
        </w:rPr>
        <w:t xml:space="preserve"> (</w:t>
      </w:r>
      <w:r w:rsidR="00900653">
        <w:rPr>
          <w:rFonts w:cstheme="minorHAnsi"/>
        </w:rPr>
        <w:t>сорока трех тысяч семисот тридцати семи</w:t>
      </w:r>
      <w:r>
        <w:rPr>
          <w:rFonts w:cstheme="minorHAnsi"/>
        </w:rPr>
        <w:t>) рублей 1</w:t>
      </w:r>
      <w:r w:rsidR="00913610">
        <w:rPr>
          <w:rFonts w:cstheme="minorHAnsi"/>
        </w:rPr>
        <w:t>8</w:t>
      </w:r>
      <w:r>
        <w:rPr>
          <w:rFonts w:cstheme="minorHAnsi"/>
        </w:rPr>
        <w:t xml:space="preserve"> копеек; общая стоимость законченных случаев</w:t>
      </w:r>
      <w:r w:rsidR="00425A30" w:rsidRPr="00425A30">
        <w:rPr>
          <w:rFonts w:cstheme="minorHAnsi"/>
        </w:rPr>
        <w:t xml:space="preserve"> </w:t>
      </w:r>
      <w:r w:rsidR="00425A30">
        <w:rPr>
          <w:rFonts w:cstheme="minorHAnsi"/>
        </w:rPr>
        <w:t>лечения</w:t>
      </w:r>
      <w:r>
        <w:rPr>
          <w:rFonts w:cstheme="minorHAnsi"/>
        </w:rPr>
        <w:t xml:space="preserve">, оплата по которым </w:t>
      </w:r>
      <w:r w:rsidRPr="00FA28EC">
        <w:t>получена</w:t>
      </w:r>
      <w:r>
        <w:rPr>
          <w:rFonts w:cstheme="minorHAnsi"/>
        </w:rPr>
        <w:t xml:space="preserve"> Частным </w:t>
      </w:r>
      <w:r>
        <w:rPr>
          <w:rFonts w:cstheme="minorHAnsi"/>
        </w:rPr>
        <w:lastRenderedPageBreak/>
        <w:t xml:space="preserve">партнером, – не менее </w:t>
      </w:r>
      <w:r w:rsidR="00900653" w:rsidRPr="00900653">
        <w:rPr>
          <w:rFonts w:cstheme="minorHAnsi"/>
        </w:rPr>
        <w:t>6 560 577</w:t>
      </w:r>
      <w:r>
        <w:rPr>
          <w:rFonts w:cstheme="minorHAnsi"/>
        </w:rPr>
        <w:t xml:space="preserve"> (</w:t>
      </w:r>
      <w:r w:rsidR="00900653">
        <w:rPr>
          <w:rFonts w:cstheme="minorHAnsi"/>
        </w:rPr>
        <w:t>шести миллионов пятисот шестидесяти тысяч пятисот семидесяти семи</w:t>
      </w:r>
      <w:r>
        <w:rPr>
          <w:rFonts w:cstheme="minorHAnsi"/>
        </w:rPr>
        <w:t>) рублей;</w:t>
      </w:r>
    </w:p>
    <w:p w14:paraId="054BDFA4" w14:textId="2A39A044" w:rsidR="000B4365" w:rsidRDefault="00900653" w:rsidP="00FA28EC">
      <w:pPr>
        <w:pStyle w:val="ListParagraph"/>
        <w:numPr>
          <w:ilvl w:val="2"/>
          <w:numId w:val="20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E53DDF">
        <w:rPr>
          <w:rFonts w:cstheme="minorHAnsi"/>
        </w:rPr>
        <w:t>по клинико-статистической группе «</w:t>
      </w:r>
      <w:r w:rsidR="00CC27AD" w:rsidRPr="00E53DDF">
        <w:rPr>
          <w:rFonts w:cstheme="minorHAnsi"/>
        </w:rPr>
        <w:t>Медицинская реабилитация пациентов с заболеваниями центральной нервной системы (4 балла по ШРМ) (уровень 2)» (код КСГ st37.002.2) – не менее 1050 (одной тысячи пятидесяти)</w:t>
      </w:r>
      <w:r w:rsidRPr="00E53DDF">
        <w:rPr>
          <w:rFonts w:cstheme="minorHAnsi"/>
        </w:rPr>
        <w:t xml:space="preserve"> </w:t>
      </w:r>
      <w:r>
        <w:rPr>
          <w:rFonts w:cstheme="minorHAnsi"/>
        </w:rPr>
        <w:t xml:space="preserve">законченных </w:t>
      </w:r>
      <w:r w:rsidRPr="00E53DDF">
        <w:rPr>
          <w:rFonts w:cstheme="minorHAnsi"/>
        </w:rPr>
        <w:t xml:space="preserve">случаев </w:t>
      </w:r>
      <w:r>
        <w:rPr>
          <w:rFonts w:cstheme="minorHAnsi"/>
        </w:rPr>
        <w:t xml:space="preserve">лечения; стоимость одного законченного случая </w:t>
      </w:r>
      <w:r w:rsidR="00425A30">
        <w:rPr>
          <w:rFonts w:cstheme="minorHAnsi"/>
        </w:rPr>
        <w:t xml:space="preserve">лечения </w:t>
      </w:r>
      <w:r>
        <w:rPr>
          <w:rFonts w:cstheme="minorHAnsi"/>
        </w:rPr>
        <w:t xml:space="preserve">(тариф ОМС) – не менее </w:t>
      </w:r>
      <w:r w:rsidR="00CC27AD" w:rsidRPr="002828AA">
        <w:rPr>
          <w:rFonts w:cstheme="minorHAnsi"/>
        </w:rPr>
        <w:t>60 667,69</w:t>
      </w:r>
      <w:r w:rsidR="00CC27AD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CC27AD">
        <w:rPr>
          <w:rFonts w:cstheme="minorHAnsi"/>
        </w:rPr>
        <w:t>шестидесяти тысяч шестисот шестидесяти семи</w:t>
      </w:r>
      <w:r>
        <w:rPr>
          <w:rFonts w:cstheme="minorHAnsi"/>
        </w:rPr>
        <w:t xml:space="preserve">) рублей </w:t>
      </w:r>
      <w:r w:rsidR="00CC27AD">
        <w:rPr>
          <w:rFonts w:cstheme="minorHAnsi"/>
        </w:rPr>
        <w:t>69</w:t>
      </w:r>
      <w:r>
        <w:rPr>
          <w:rFonts w:cstheme="minorHAnsi"/>
        </w:rPr>
        <w:t xml:space="preserve"> копеек; общая стоимость законченных случаев</w:t>
      </w:r>
      <w:r w:rsidR="00425A30" w:rsidRPr="00425A30">
        <w:rPr>
          <w:rFonts w:cstheme="minorHAnsi"/>
        </w:rPr>
        <w:t xml:space="preserve"> </w:t>
      </w:r>
      <w:r w:rsidR="00425A30">
        <w:rPr>
          <w:rFonts w:cstheme="minorHAnsi"/>
        </w:rPr>
        <w:t>лечения</w:t>
      </w:r>
      <w:r>
        <w:rPr>
          <w:rFonts w:cstheme="minorHAnsi"/>
        </w:rPr>
        <w:t xml:space="preserve">, оплата по которым </w:t>
      </w:r>
      <w:r w:rsidRPr="00FA28EC">
        <w:t>получена</w:t>
      </w:r>
      <w:r>
        <w:rPr>
          <w:rFonts w:cstheme="minorHAnsi"/>
        </w:rPr>
        <w:t xml:space="preserve"> Частным партнером, – не менее </w:t>
      </w:r>
      <w:r w:rsidR="00CC27AD" w:rsidRPr="002828AA">
        <w:rPr>
          <w:rFonts w:cstheme="minorHAnsi"/>
        </w:rPr>
        <w:t>63 701 074</w:t>
      </w:r>
      <w:r>
        <w:rPr>
          <w:rFonts w:cstheme="minorHAnsi"/>
        </w:rPr>
        <w:t xml:space="preserve"> (шести</w:t>
      </w:r>
      <w:r w:rsidR="002828AA">
        <w:rPr>
          <w:rFonts w:cstheme="minorHAnsi"/>
        </w:rPr>
        <w:t>десяти трех</w:t>
      </w:r>
      <w:r>
        <w:rPr>
          <w:rFonts w:cstheme="minorHAnsi"/>
        </w:rPr>
        <w:t xml:space="preserve"> миллионов </w:t>
      </w:r>
      <w:r w:rsidR="002828AA">
        <w:rPr>
          <w:rFonts w:cstheme="minorHAnsi"/>
        </w:rPr>
        <w:t>семисот одной тысячи семидесяти четырех</w:t>
      </w:r>
      <w:r>
        <w:rPr>
          <w:rFonts w:cstheme="minorHAnsi"/>
        </w:rPr>
        <w:t>) рублей</w:t>
      </w:r>
      <w:r w:rsidR="002828AA">
        <w:rPr>
          <w:rFonts w:cstheme="minorHAnsi"/>
        </w:rPr>
        <w:t xml:space="preserve"> 50 копеек</w:t>
      </w:r>
      <w:r>
        <w:rPr>
          <w:rFonts w:cstheme="minorHAnsi"/>
        </w:rPr>
        <w:t>;</w:t>
      </w:r>
    </w:p>
    <w:p w14:paraId="0AE479B6" w14:textId="433D8245" w:rsidR="002828AA" w:rsidRDefault="002828AA" w:rsidP="00FA28EC">
      <w:pPr>
        <w:pStyle w:val="ListParagraph"/>
        <w:numPr>
          <w:ilvl w:val="2"/>
          <w:numId w:val="20"/>
        </w:numPr>
        <w:spacing w:after="240"/>
        <w:ind w:left="1418" w:hanging="851"/>
        <w:contextualSpacing w:val="0"/>
        <w:jc w:val="both"/>
        <w:rPr>
          <w:rFonts w:cstheme="minorHAnsi"/>
        </w:rPr>
      </w:pPr>
      <w:r w:rsidRPr="00E53DDF">
        <w:rPr>
          <w:rFonts w:cstheme="minorHAnsi"/>
        </w:rPr>
        <w:t>по клинико-статистической группе «</w:t>
      </w:r>
      <w:r w:rsidR="002E561F" w:rsidRPr="00E53DDF">
        <w:rPr>
          <w:rFonts w:cstheme="minorHAnsi"/>
        </w:rPr>
        <w:t>Медицинская реабилитация пациентов с заболеваниями центральной нервной системы (5 баллов по ШРМ) (уровень 2)» (код КСГ st37.003.2) – не менее 300 (трехсот)</w:t>
      </w:r>
      <w:r w:rsidRPr="00E53DDF">
        <w:rPr>
          <w:rFonts w:cstheme="minorHAnsi"/>
        </w:rPr>
        <w:t xml:space="preserve"> </w:t>
      </w:r>
      <w:r>
        <w:rPr>
          <w:rFonts w:cstheme="minorHAnsi"/>
        </w:rPr>
        <w:t xml:space="preserve">законченных </w:t>
      </w:r>
      <w:r w:rsidRPr="00E53DDF">
        <w:rPr>
          <w:rFonts w:cstheme="minorHAnsi"/>
        </w:rPr>
        <w:t xml:space="preserve">случаев </w:t>
      </w:r>
      <w:r>
        <w:rPr>
          <w:rFonts w:cstheme="minorHAnsi"/>
        </w:rPr>
        <w:t xml:space="preserve">лечения; стоимость одного законченного случая </w:t>
      </w:r>
      <w:r w:rsidR="007543AD">
        <w:rPr>
          <w:rFonts w:cstheme="minorHAnsi"/>
        </w:rPr>
        <w:t xml:space="preserve">лечения </w:t>
      </w:r>
      <w:r>
        <w:rPr>
          <w:rFonts w:cstheme="minorHAnsi"/>
        </w:rPr>
        <w:t xml:space="preserve">(тариф ОМС) – не менее </w:t>
      </w:r>
      <w:r w:rsidR="002E561F" w:rsidRPr="002E561F">
        <w:rPr>
          <w:rFonts w:cstheme="minorHAnsi"/>
        </w:rPr>
        <w:t>103 840,52</w:t>
      </w:r>
      <w:r>
        <w:rPr>
          <w:rFonts w:cstheme="minorHAnsi"/>
        </w:rPr>
        <w:t xml:space="preserve"> (</w:t>
      </w:r>
      <w:r w:rsidR="002E561F">
        <w:rPr>
          <w:rFonts w:cstheme="minorHAnsi"/>
        </w:rPr>
        <w:t>ста трех тысяч восьмисот сорока</w:t>
      </w:r>
      <w:r>
        <w:rPr>
          <w:rFonts w:cstheme="minorHAnsi"/>
        </w:rPr>
        <w:t xml:space="preserve">) рублей </w:t>
      </w:r>
      <w:r w:rsidR="002E561F">
        <w:rPr>
          <w:rFonts w:cstheme="minorHAnsi"/>
        </w:rPr>
        <w:t>52</w:t>
      </w:r>
      <w:r>
        <w:rPr>
          <w:rFonts w:cstheme="minorHAnsi"/>
        </w:rPr>
        <w:t xml:space="preserve"> копеек; общая стоимость законченных случаев</w:t>
      </w:r>
      <w:r w:rsidR="007543AD" w:rsidRPr="007543AD">
        <w:rPr>
          <w:rFonts w:cstheme="minorHAnsi"/>
        </w:rPr>
        <w:t xml:space="preserve"> </w:t>
      </w:r>
      <w:r w:rsidR="007543AD">
        <w:rPr>
          <w:rFonts w:cstheme="minorHAnsi"/>
        </w:rPr>
        <w:t>лечения</w:t>
      </w:r>
      <w:r>
        <w:rPr>
          <w:rFonts w:cstheme="minorHAnsi"/>
        </w:rPr>
        <w:t xml:space="preserve">, оплата по которым </w:t>
      </w:r>
      <w:r w:rsidRPr="00FA28EC">
        <w:t>получена</w:t>
      </w:r>
      <w:r>
        <w:rPr>
          <w:rFonts w:cstheme="minorHAnsi"/>
        </w:rPr>
        <w:t xml:space="preserve"> Частным партнером, – не менее </w:t>
      </w:r>
      <w:r w:rsidR="00DF7ACB" w:rsidRPr="00DF7ACB">
        <w:rPr>
          <w:rFonts w:cstheme="minorHAnsi"/>
        </w:rPr>
        <w:t>31 152 156</w:t>
      </w:r>
      <w:r>
        <w:rPr>
          <w:rFonts w:cstheme="minorHAnsi"/>
        </w:rPr>
        <w:t xml:space="preserve"> (</w:t>
      </w:r>
      <w:r w:rsidR="00DF7ACB">
        <w:rPr>
          <w:rFonts w:cstheme="minorHAnsi"/>
        </w:rPr>
        <w:t>тридцати одного миллиона ста пятидесяти двух тысяч ста пятидесяти шести</w:t>
      </w:r>
      <w:r>
        <w:rPr>
          <w:rFonts w:cstheme="minorHAnsi"/>
        </w:rPr>
        <w:t>) рублей</w:t>
      </w:r>
      <w:r w:rsidR="00DF7ACB">
        <w:rPr>
          <w:rFonts w:cstheme="minorHAnsi"/>
        </w:rPr>
        <w:t>.</w:t>
      </w:r>
    </w:p>
    <w:p w14:paraId="2216714D" w14:textId="4BDDB273" w:rsidR="0032245C" w:rsidRDefault="00F323CC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 w:rsidRPr="000764A3">
        <w:rPr>
          <w:rFonts w:cstheme="minorHAnsi"/>
        </w:rPr>
        <w:t xml:space="preserve">Предусмотренные пунктом 1 раздела </w:t>
      </w:r>
      <w:r w:rsidRPr="00FA28EC">
        <w:t>II</w:t>
      </w:r>
      <w:r w:rsidR="004022ED">
        <w:rPr>
          <w:lang w:val="en-US"/>
        </w:rPr>
        <w:t>I</w:t>
      </w:r>
      <w:r w:rsidRPr="000764A3">
        <w:rPr>
          <w:rFonts w:cstheme="minorHAnsi"/>
        </w:rPr>
        <w:t xml:space="preserve"> настоящего Приложения</w:t>
      </w:r>
      <w:r w:rsidR="00D867BB">
        <w:rPr>
          <w:rFonts w:cstheme="minorHAnsi"/>
        </w:rPr>
        <w:t xml:space="preserve"> №</w:t>
      </w:r>
      <w:r w:rsidRPr="000764A3">
        <w:rPr>
          <w:rFonts w:cstheme="minorHAnsi"/>
        </w:rPr>
        <w:t xml:space="preserve"> 15</w:t>
      </w:r>
      <w:r w:rsidR="00B161E9">
        <w:rPr>
          <w:rFonts w:cstheme="minorHAnsi"/>
        </w:rPr>
        <w:t xml:space="preserve"> </w:t>
      </w:r>
      <w:r w:rsidR="00A836C8">
        <w:rPr>
          <w:rFonts w:cstheme="minorHAnsi"/>
        </w:rPr>
        <w:t>Гарантии по выручке (П</w:t>
      </w:r>
      <w:r w:rsidR="00B161E9">
        <w:rPr>
          <w:rFonts w:cstheme="minorHAnsi"/>
        </w:rPr>
        <w:t>рогнозные</w:t>
      </w:r>
      <w:r w:rsidRPr="000764A3">
        <w:rPr>
          <w:rFonts w:cstheme="minorHAnsi"/>
        </w:rPr>
        <w:t xml:space="preserve"> </w:t>
      </w:r>
      <w:r w:rsidR="00906F37" w:rsidRPr="000764A3">
        <w:rPr>
          <w:rFonts w:cstheme="minorHAnsi"/>
        </w:rPr>
        <w:t>показатели выручки Частного партнера</w:t>
      </w:r>
      <w:r w:rsidR="00A836C8">
        <w:rPr>
          <w:rFonts w:cstheme="minorHAnsi"/>
        </w:rPr>
        <w:t>) и Гарантии по тарифам (</w:t>
      </w:r>
      <w:r w:rsidR="000764A3" w:rsidRPr="000764A3">
        <w:rPr>
          <w:rFonts w:cstheme="minorHAnsi"/>
        </w:rPr>
        <w:t>тарифы законченного случая лечения</w:t>
      </w:r>
      <w:r w:rsidR="00A836C8">
        <w:rPr>
          <w:rFonts w:cstheme="minorHAnsi"/>
        </w:rPr>
        <w:t>)</w:t>
      </w:r>
      <w:r w:rsidR="000764A3" w:rsidRPr="000764A3">
        <w:rPr>
          <w:rFonts w:cstheme="minorHAnsi"/>
        </w:rPr>
        <w:t xml:space="preserve">, рассчитаны в соответствии с </w:t>
      </w:r>
      <w:r w:rsidR="00B161E9" w:rsidRPr="00B161E9">
        <w:rPr>
          <w:rFonts w:cstheme="minorHAnsi"/>
        </w:rPr>
        <w:t>Тарифным соглашением об оплате медицинской помощи по Территориальной программе обязательного медицинского страхования Республики Татарстан на 2020 год</w:t>
      </w:r>
      <w:r w:rsidR="00C638F3">
        <w:rPr>
          <w:rFonts w:cstheme="minorHAnsi"/>
        </w:rPr>
        <w:t xml:space="preserve"> (далее – «Тарифное Соглашение 2020»)</w:t>
      </w:r>
      <w:r w:rsidR="00332A9E">
        <w:rPr>
          <w:rFonts w:cstheme="minorHAnsi"/>
        </w:rPr>
        <w:t xml:space="preserve">. При этом тариф законченного случая лечения по каждой из КСГ </w:t>
      </w:r>
      <w:r w:rsidR="00C638F3">
        <w:rPr>
          <w:rFonts w:cstheme="minorHAnsi"/>
        </w:rPr>
        <w:t>определяется</w:t>
      </w:r>
      <w:r w:rsidR="00332A9E">
        <w:rPr>
          <w:rFonts w:cstheme="minorHAnsi"/>
        </w:rPr>
        <w:t xml:space="preserve"> по следующей формуле</w:t>
      </w:r>
      <w:r w:rsidR="0032245C">
        <w:rPr>
          <w:rFonts w:cstheme="minorHAnsi"/>
        </w:rPr>
        <w:t>:</w:t>
      </w:r>
    </w:p>
    <w:p w14:paraId="273CA4C3" w14:textId="77777777" w:rsidR="00C638F3" w:rsidRPr="00C638F3" w:rsidRDefault="00C638F3" w:rsidP="00FA28EC">
      <w:pPr>
        <w:spacing w:after="240"/>
        <w:ind w:left="567"/>
        <w:jc w:val="both"/>
        <w:rPr>
          <w:rFonts w:cstheme="minorHAnsi"/>
        </w:rPr>
      </w:pPr>
      <w:r w:rsidRPr="00FA28EC">
        <w:rPr>
          <w:noProof/>
          <w:lang w:val="en-US"/>
        </w:rPr>
        <w:drawing>
          <wp:inline distT="0" distB="0" distL="0" distR="0" wp14:anchorId="6331BE21" wp14:editId="0657F426">
            <wp:extent cx="2647950" cy="285750"/>
            <wp:effectExtent l="0" t="0" r="0" b="0"/>
            <wp:docPr id="2" name="Рисунок 2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8F3">
        <w:rPr>
          <w:rFonts w:cstheme="minorHAnsi"/>
        </w:rPr>
        <w:t> где:</w:t>
      </w:r>
    </w:p>
    <w:p w14:paraId="1F5E0DB5" w14:textId="28897901" w:rsidR="00C638F3" w:rsidRDefault="00C638F3" w:rsidP="00FA28EC">
      <w:pPr>
        <w:spacing w:after="240"/>
        <w:ind w:left="567"/>
        <w:jc w:val="both"/>
        <w:rPr>
          <w:rFonts w:cstheme="minorHAnsi"/>
        </w:rPr>
      </w:pPr>
      <w:r w:rsidRPr="00C638F3">
        <w:rPr>
          <w:rFonts w:cstheme="minorHAnsi"/>
        </w:rPr>
        <w:br/>
      </w:r>
      <w:r w:rsidR="00874042" w:rsidRPr="00874042">
        <w:rPr>
          <w:rFonts w:cstheme="minorHAnsi"/>
        </w:rPr>
        <w:t>2.1.</w:t>
      </w:r>
      <w:r w:rsidR="00874042">
        <w:rPr>
          <w:rFonts w:cstheme="minorHAnsi"/>
          <w:b/>
          <w:bCs/>
        </w:rPr>
        <w:t xml:space="preserve"> </w:t>
      </w:r>
      <w:r w:rsidRPr="00874042">
        <w:rPr>
          <w:rFonts w:cstheme="minorHAnsi"/>
          <w:b/>
          <w:bCs/>
        </w:rPr>
        <w:t>БС</w:t>
      </w:r>
      <w:r w:rsidRPr="00C638F3">
        <w:rPr>
          <w:rFonts w:cstheme="minorHAnsi"/>
        </w:rPr>
        <w:t xml:space="preserve"> </w:t>
      </w:r>
      <w:r w:rsidR="004E6F4C">
        <w:rPr>
          <w:rFonts w:cstheme="minorHAnsi"/>
        </w:rPr>
        <w:t xml:space="preserve">– </w:t>
      </w:r>
      <w:r w:rsidRPr="00C638F3">
        <w:rPr>
          <w:rFonts w:cstheme="minorHAnsi"/>
        </w:rPr>
        <w:t xml:space="preserve">размер средней стоимости законченного случая лечения, включенного в КСГ, в стационарных условиях </w:t>
      </w:r>
      <w:r w:rsidR="004108BE">
        <w:rPr>
          <w:rFonts w:cstheme="minorHAnsi"/>
        </w:rPr>
        <w:t>(</w:t>
      </w:r>
      <w:r w:rsidRPr="00C638F3">
        <w:rPr>
          <w:rFonts w:cstheme="minorHAnsi"/>
        </w:rPr>
        <w:t>базовая ставка</w:t>
      </w:r>
      <w:r w:rsidR="004108BE">
        <w:rPr>
          <w:rFonts w:cstheme="minorHAnsi"/>
        </w:rPr>
        <w:t>)</w:t>
      </w:r>
      <w:r>
        <w:rPr>
          <w:rFonts w:cstheme="minorHAnsi"/>
        </w:rPr>
        <w:t xml:space="preserve">. </w:t>
      </w:r>
    </w:p>
    <w:p w14:paraId="1A19909D" w14:textId="311CFA57" w:rsidR="00165EBF" w:rsidRDefault="00C638F3" w:rsidP="00165EBF">
      <w:pPr>
        <w:spacing w:after="240"/>
        <w:ind w:left="567"/>
        <w:jc w:val="both"/>
        <w:rPr>
          <w:rFonts w:cstheme="minorHAnsi"/>
        </w:rPr>
      </w:pPr>
      <w:r>
        <w:rPr>
          <w:rFonts w:cstheme="minorHAnsi"/>
        </w:rPr>
        <w:t>Тарифным Соглашением 2020 БС установлена в размере</w:t>
      </w:r>
      <w:r w:rsidR="004108BE">
        <w:rPr>
          <w:rFonts w:cstheme="minorHAnsi"/>
        </w:rPr>
        <w:t xml:space="preserve"> 22</w:t>
      </w:r>
      <w:r w:rsidR="006A02E2">
        <w:rPr>
          <w:rFonts w:cstheme="minorHAnsi"/>
        </w:rPr>
        <w:t> 565 (двадцать две тысячи пятьсот шестьдесят пять) рублей</w:t>
      </w:r>
      <w:r w:rsidRPr="00C638F3">
        <w:rPr>
          <w:rFonts w:cstheme="minorHAnsi"/>
        </w:rPr>
        <w:t>;</w:t>
      </w:r>
    </w:p>
    <w:p w14:paraId="767915F6" w14:textId="686C3426" w:rsidR="00874042" w:rsidRDefault="00C638F3" w:rsidP="00FA28EC">
      <w:pPr>
        <w:spacing w:after="240"/>
        <w:ind w:left="567"/>
        <w:jc w:val="both"/>
        <w:rPr>
          <w:rFonts w:cstheme="minorHAnsi"/>
        </w:rPr>
      </w:pPr>
      <w:r w:rsidRPr="00C638F3">
        <w:rPr>
          <w:rFonts w:cstheme="minorHAnsi"/>
        </w:rPr>
        <w:br/>
      </w:r>
      <w:r w:rsidR="00874042">
        <w:rPr>
          <w:rFonts w:cstheme="minorHAnsi"/>
        </w:rPr>
        <w:t>2.2.</w:t>
      </w:r>
      <w:r w:rsidRPr="00FA28EC">
        <w:rPr>
          <w:noProof/>
          <w:lang w:val="en-US"/>
        </w:rPr>
        <w:drawing>
          <wp:inline distT="0" distB="0" distL="0" distR="0" wp14:anchorId="773E0874" wp14:editId="21D74241">
            <wp:extent cx="428625" cy="285750"/>
            <wp:effectExtent l="0" t="0" r="9525" b="0"/>
            <wp:docPr id="1" name="Рисунок 1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8F3">
        <w:rPr>
          <w:rFonts w:cstheme="minorHAnsi"/>
        </w:rPr>
        <w:t> </w:t>
      </w:r>
      <w:r w:rsidR="004E6F4C">
        <w:rPr>
          <w:rFonts w:cstheme="minorHAnsi"/>
        </w:rPr>
        <w:t xml:space="preserve">– </w:t>
      </w:r>
      <w:r w:rsidR="004E6F4C" w:rsidRPr="00FA28EC">
        <w:rPr>
          <w:rFonts w:ascii="Calibri" w:hAnsi="Calibri"/>
          <w:color w:val="2D2D2D"/>
          <w:spacing w:val="2"/>
          <w:sz w:val="21"/>
          <w:shd w:val="clear" w:color="auto" w:fill="FFFFFF"/>
        </w:rPr>
        <w:t>величина, отражающая отношение конкретной клинико-статистической группы заболеваний к среднему объему финансового обеспечения медицинской помощи в расчете на одного пролеченного пациента (базовой ставке)</w:t>
      </w:r>
      <w:r w:rsidR="00D1248B" w:rsidRPr="00FA28EC">
        <w:rPr>
          <w:rFonts w:ascii="Calibri" w:hAnsi="Calibri"/>
          <w:color w:val="2D2D2D"/>
          <w:spacing w:val="2"/>
          <w:sz w:val="21"/>
          <w:shd w:val="clear" w:color="auto" w:fill="FFFFFF"/>
        </w:rPr>
        <w:t xml:space="preserve"> (</w:t>
      </w:r>
      <w:r w:rsidRPr="00FA28EC">
        <w:rPr>
          <w:rFonts w:ascii="Calibri" w:hAnsi="Calibri"/>
        </w:rPr>
        <w:t xml:space="preserve">коэффициент относительной </w:t>
      </w:r>
      <w:proofErr w:type="spellStart"/>
      <w:r w:rsidRPr="00FA28EC">
        <w:rPr>
          <w:rFonts w:ascii="Calibri" w:hAnsi="Calibri"/>
        </w:rPr>
        <w:t>затратоемкости</w:t>
      </w:r>
      <w:proofErr w:type="spellEnd"/>
      <w:r w:rsidR="00D1248B" w:rsidRPr="00FA28EC">
        <w:rPr>
          <w:rFonts w:ascii="Calibri" w:hAnsi="Calibri"/>
        </w:rPr>
        <w:t>)</w:t>
      </w:r>
      <w:r w:rsidR="004108BE" w:rsidRPr="00FA28EC">
        <w:rPr>
          <w:rFonts w:ascii="Calibri" w:hAnsi="Calibri"/>
        </w:rPr>
        <w:t>.</w:t>
      </w:r>
      <w:r w:rsidR="00D1248B">
        <w:rPr>
          <w:rFonts w:cstheme="minorHAnsi"/>
        </w:rPr>
        <w:t xml:space="preserve"> </w:t>
      </w:r>
    </w:p>
    <w:p w14:paraId="1754799B" w14:textId="287EBBFA" w:rsidR="00D1248B" w:rsidRDefault="00D1248B" w:rsidP="00FA28EC">
      <w:pPr>
        <w:spacing w:after="240"/>
        <w:ind w:left="56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Тарифным Соглашением 2020 установлены следующие коэффициенты </w:t>
      </w:r>
      <w:proofErr w:type="spellStart"/>
      <w:r>
        <w:rPr>
          <w:rFonts w:cstheme="minorHAnsi"/>
        </w:rPr>
        <w:t>затратоемкости</w:t>
      </w:r>
      <w:proofErr w:type="spellEnd"/>
      <w:r>
        <w:rPr>
          <w:rFonts w:cstheme="minorHAnsi"/>
        </w:rPr>
        <w:t xml:space="preserve"> по указанным в настоящем Приложении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>15 КСГ:</w:t>
      </w:r>
    </w:p>
    <w:tbl>
      <w:tblPr>
        <w:tblStyle w:val="TableGrid"/>
        <w:tblW w:w="8505" w:type="dxa"/>
        <w:tblInd w:w="562" w:type="dxa"/>
        <w:tblLook w:val="04A0" w:firstRow="1" w:lastRow="0" w:firstColumn="1" w:lastColumn="0" w:noHBand="0" w:noVBand="1"/>
      </w:tblPr>
      <w:tblGrid>
        <w:gridCol w:w="1298"/>
        <w:gridCol w:w="5477"/>
        <w:gridCol w:w="1730"/>
      </w:tblGrid>
      <w:tr w:rsidR="00D1248B" w:rsidRPr="00D727E5" w14:paraId="61B4CC8D" w14:textId="77777777" w:rsidTr="00FA28EC">
        <w:tc>
          <w:tcPr>
            <w:tcW w:w="1298" w:type="dxa"/>
            <w:shd w:val="clear" w:color="auto" w:fill="E2EFD9" w:themeFill="accent6" w:themeFillTint="33"/>
          </w:tcPr>
          <w:p w14:paraId="0622113D" w14:textId="77777777" w:rsidR="00D1248B" w:rsidRPr="00D727E5" w:rsidRDefault="00D1248B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Код КСГ</w:t>
            </w:r>
          </w:p>
        </w:tc>
        <w:tc>
          <w:tcPr>
            <w:tcW w:w="5477" w:type="dxa"/>
            <w:shd w:val="clear" w:color="auto" w:fill="E2EFD9" w:themeFill="accent6" w:themeFillTint="33"/>
          </w:tcPr>
          <w:p w14:paraId="63FBF7D2" w14:textId="77777777" w:rsidR="00D1248B" w:rsidRPr="00D727E5" w:rsidRDefault="00D1248B" w:rsidP="00FA28EC">
            <w:pPr>
              <w:spacing w:before="48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Наименование КСГ</w:t>
            </w:r>
          </w:p>
        </w:tc>
        <w:tc>
          <w:tcPr>
            <w:tcW w:w="1730" w:type="dxa"/>
            <w:shd w:val="clear" w:color="auto" w:fill="E2EFD9" w:themeFill="accent6" w:themeFillTint="33"/>
          </w:tcPr>
          <w:p w14:paraId="545F2900" w14:textId="597A9DB3" w:rsidR="00D1248B" w:rsidRPr="00D727E5" w:rsidRDefault="00D1248B" w:rsidP="00FA28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Ко</w:t>
            </w:r>
            <w:r w:rsidR="009F48D3">
              <w:rPr>
                <w:rFonts w:cstheme="minorHAnsi"/>
                <w:b/>
                <w:bCs/>
              </w:rPr>
              <w:t xml:space="preserve">эффициент относительной </w:t>
            </w:r>
            <w:proofErr w:type="spellStart"/>
            <w:r w:rsidR="009F48D3">
              <w:rPr>
                <w:rFonts w:cstheme="minorHAnsi"/>
                <w:b/>
                <w:bCs/>
              </w:rPr>
              <w:t>затратоемкости</w:t>
            </w:r>
            <w:proofErr w:type="spellEnd"/>
          </w:p>
        </w:tc>
      </w:tr>
      <w:tr w:rsidR="00D1248B" w14:paraId="490691C0" w14:textId="77777777" w:rsidTr="00FA28EC">
        <w:tc>
          <w:tcPr>
            <w:tcW w:w="1298" w:type="dxa"/>
          </w:tcPr>
          <w:p w14:paraId="7018181C" w14:textId="77777777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5</w:t>
            </w:r>
          </w:p>
        </w:tc>
        <w:tc>
          <w:tcPr>
            <w:tcW w:w="5477" w:type="dxa"/>
          </w:tcPr>
          <w:p w14:paraId="6761D0AC" w14:textId="77777777" w:rsidR="00D1248B" w:rsidRDefault="00D1248B" w:rsidP="00314DBD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(3 балла по ШРМ)</w:t>
            </w:r>
          </w:p>
        </w:tc>
        <w:tc>
          <w:tcPr>
            <w:tcW w:w="1730" w:type="dxa"/>
          </w:tcPr>
          <w:p w14:paraId="2E8F42E8" w14:textId="5A1740CB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1</w:t>
            </w:r>
            <w:r w:rsidR="009F48D3">
              <w:rPr>
                <w:rFonts w:cstheme="minorHAnsi"/>
              </w:rPr>
              <w:t>,24</w:t>
            </w:r>
          </w:p>
        </w:tc>
      </w:tr>
      <w:tr w:rsidR="009F48D3" w14:paraId="2DE376A5" w14:textId="77777777" w:rsidTr="00FA28EC">
        <w:tc>
          <w:tcPr>
            <w:tcW w:w="1298" w:type="dxa"/>
          </w:tcPr>
          <w:p w14:paraId="1C1259EE" w14:textId="77777777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6.2</w:t>
            </w:r>
          </w:p>
        </w:tc>
        <w:tc>
          <w:tcPr>
            <w:tcW w:w="5477" w:type="dxa"/>
          </w:tcPr>
          <w:p w14:paraId="0710B783" w14:textId="77777777" w:rsidR="00D1248B" w:rsidRDefault="00D1248B" w:rsidP="00314DBD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4</w:t>
            </w:r>
            <w:r w:rsidRPr="00E53DDF">
              <w:rPr>
                <w:rFonts w:cstheme="minorHAnsi"/>
              </w:rPr>
              <w:t xml:space="preserve"> балла по ШРМ) (уровень 2) </w:t>
            </w:r>
          </w:p>
        </w:tc>
        <w:tc>
          <w:tcPr>
            <w:tcW w:w="1730" w:type="dxa"/>
          </w:tcPr>
          <w:p w14:paraId="275CCAF9" w14:textId="19B54AEC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1</w:t>
            </w:r>
            <w:r w:rsidR="00C40A15">
              <w:rPr>
                <w:rFonts w:cstheme="minorHAnsi"/>
              </w:rPr>
              <w:t>,97</w:t>
            </w:r>
          </w:p>
        </w:tc>
      </w:tr>
      <w:tr w:rsidR="009F48D3" w14:paraId="78794B1A" w14:textId="77777777" w:rsidTr="00FA28EC">
        <w:tc>
          <w:tcPr>
            <w:tcW w:w="1298" w:type="dxa"/>
          </w:tcPr>
          <w:p w14:paraId="0A4B56A9" w14:textId="77777777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7</w:t>
            </w:r>
          </w:p>
        </w:tc>
        <w:tc>
          <w:tcPr>
            <w:tcW w:w="5477" w:type="dxa"/>
          </w:tcPr>
          <w:p w14:paraId="07484626" w14:textId="77777777" w:rsidR="00D1248B" w:rsidRDefault="00D1248B" w:rsidP="00314DBD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5</w:t>
            </w:r>
            <w:r w:rsidRPr="00E53DDF">
              <w:rPr>
                <w:rFonts w:cstheme="minorHAnsi"/>
              </w:rPr>
              <w:t xml:space="preserve"> балл</w:t>
            </w:r>
            <w:r>
              <w:rPr>
                <w:rFonts w:cstheme="minorHAnsi"/>
              </w:rPr>
              <w:t>ов</w:t>
            </w:r>
            <w:r w:rsidRPr="00E53DDF">
              <w:rPr>
                <w:rFonts w:cstheme="minorHAnsi"/>
              </w:rPr>
              <w:t xml:space="preserve"> по ШРМ) </w:t>
            </w:r>
          </w:p>
        </w:tc>
        <w:tc>
          <w:tcPr>
            <w:tcW w:w="1730" w:type="dxa"/>
          </w:tcPr>
          <w:p w14:paraId="7AB7CE7B" w14:textId="1AA87FEF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3</w:t>
            </w:r>
            <w:r w:rsidR="00C40A15">
              <w:rPr>
                <w:rFonts w:cstheme="minorHAnsi"/>
              </w:rPr>
              <w:t>,03</w:t>
            </w:r>
          </w:p>
        </w:tc>
      </w:tr>
      <w:tr w:rsidR="009F48D3" w14:paraId="36F1BEF2" w14:textId="77777777" w:rsidTr="00FA28EC">
        <w:tc>
          <w:tcPr>
            <w:tcW w:w="1298" w:type="dxa"/>
          </w:tcPr>
          <w:p w14:paraId="60431F8D" w14:textId="77777777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st37.001.2</w:t>
            </w:r>
          </w:p>
        </w:tc>
        <w:tc>
          <w:tcPr>
            <w:tcW w:w="5477" w:type="dxa"/>
          </w:tcPr>
          <w:p w14:paraId="0A1E4ED9" w14:textId="77777777" w:rsidR="00D1248B" w:rsidRDefault="00D1248B" w:rsidP="00314DBD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(3 балла по ШРМ) (уровень 2) </w:t>
            </w:r>
          </w:p>
        </w:tc>
        <w:tc>
          <w:tcPr>
            <w:tcW w:w="1730" w:type="dxa"/>
          </w:tcPr>
          <w:p w14:paraId="47C3A084" w14:textId="7F500D2A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1</w:t>
            </w:r>
            <w:r w:rsidR="00C40A15">
              <w:rPr>
                <w:rFonts w:cstheme="minorHAnsi"/>
              </w:rPr>
              <w:t>,</w:t>
            </w:r>
            <w:r w:rsidRPr="00E53DDF">
              <w:rPr>
                <w:rFonts w:cstheme="minorHAnsi"/>
              </w:rPr>
              <w:t>5</w:t>
            </w:r>
            <w:r w:rsidR="00C40A15">
              <w:rPr>
                <w:rFonts w:cstheme="minorHAnsi"/>
              </w:rPr>
              <w:t>5</w:t>
            </w:r>
          </w:p>
        </w:tc>
      </w:tr>
      <w:tr w:rsidR="009F48D3" w14:paraId="6BAF1A46" w14:textId="77777777" w:rsidTr="00FA28EC">
        <w:tc>
          <w:tcPr>
            <w:tcW w:w="1298" w:type="dxa"/>
          </w:tcPr>
          <w:p w14:paraId="73371F54" w14:textId="77777777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st37.002.2</w:t>
            </w:r>
          </w:p>
        </w:tc>
        <w:tc>
          <w:tcPr>
            <w:tcW w:w="5477" w:type="dxa"/>
          </w:tcPr>
          <w:p w14:paraId="24B9DC6B" w14:textId="77777777" w:rsidR="00D1248B" w:rsidRDefault="00D1248B" w:rsidP="00314DBD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(4 балла по ШРМ) (уровень 2) </w:t>
            </w:r>
          </w:p>
        </w:tc>
        <w:tc>
          <w:tcPr>
            <w:tcW w:w="1730" w:type="dxa"/>
          </w:tcPr>
          <w:p w14:paraId="0949B4F0" w14:textId="1EDEABFA" w:rsidR="00D1248B" w:rsidRDefault="00C40A15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2,15</w:t>
            </w:r>
          </w:p>
        </w:tc>
      </w:tr>
      <w:tr w:rsidR="00D1248B" w14:paraId="050E7D93" w14:textId="77777777" w:rsidTr="00FA28EC">
        <w:tc>
          <w:tcPr>
            <w:tcW w:w="1298" w:type="dxa"/>
            <w:tcBorders>
              <w:bottom w:val="single" w:sz="4" w:space="0" w:color="auto"/>
            </w:tcBorders>
          </w:tcPr>
          <w:p w14:paraId="378FED63" w14:textId="77777777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st37.003.2</w:t>
            </w:r>
          </w:p>
        </w:tc>
        <w:tc>
          <w:tcPr>
            <w:tcW w:w="5477" w:type="dxa"/>
            <w:tcBorders>
              <w:bottom w:val="single" w:sz="4" w:space="0" w:color="auto"/>
            </w:tcBorders>
          </w:tcPr>
          <w:p w14:paraId="2792AF7B" w14:textId="77777777" w:rsidR="00D1248B" w:rsidRDefault="00D1248B" w:rsidP="00314DBD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(5 баллов по ШРМ) (уровень 2) 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4162C438" w14:textId="473DF373" w:rsidR="00D1248B" w:rsidRDefault="00D1248B" w:rsidP="00314DB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3</w:t>
            </w:r>
            <w:r w:rsidR="00C40A15">
              <w:rPr>
                <w:rFonts w:cstheme="minorHAnsi"/>
              </w:rPr>
              <w:t>,68</w:t>
            </w:r>
          </w:p>
        </w:tc>
      </w:tr>
    </w:tbl>
    <w:p w14:paraId="4C3945E6" w14:textId="09FBA532" w:rsidR="00703A64" w:rsidRDefault="00C638F3" w:rsidP="00FA28EC">
      <w:pPr>
        <w:spacing w:after="120"/>
        <w:ind w:left="567"/>
        <w:jc w:val="both"/>
        <w:rPr>
          <w:rFonts w:cstheme="minorHAnsi"/>
        </w:rPr>
      </w:pPr>
      <w:r w:rsidRPr="00C638F3">
        <w:rPr>
          <w:rFonts w:cstheme="minorHAnsi"/>
        </w:rPr>
        <w:br/>
      </w:r>
      <w:r w:rsidR="00874042">
        <w:rPr>
          <w:rFonts w:cstheme="minorHAnsi"/>
        </w:rPr>
        <w:t xml:space="preserve">2.3. </w:t>
      </w:r>
      <w:r w:rsidR="004828F6" w:rsidRPr="00AB022C">
        <w:rPr>
          <w:rFonts w:cstheme="minorHAnsi"/>
          <w:b/>
          <w:bCs/>
        </w:rPr>
        <w:t>ПК</w:t>
      </w:r>
      <w:r w:rsidR="004828F6" w:rsidRPr="00C638F3">
        <w:rPr>
          <w:rFonts w:cstheme="minorHAnsi"/>
        </w:rPr>
        <w:t xml:space="preserve"> </w:t>
      </w:r>
      <w:r w:rsidR="00CE486E">
        <w:rPr>
          <w:rFonts w:cstheme="minorHAnsi"/>
        </w:rPr>
        <w:t>–</w:t>
      </w:r>
      <w:r w:rsidR="004828F6" w:rsidRPr="00C638F3">
        <w:rPr>
          <w:rFonts w:cstheme="minorHAnsi"/>
        </w:rPr>
        <w:t xml:space="preserve"> поправочны</w:t>
      </w:r>
      <w:r w:rsidR="00CE486E">
        <w:rPr>
          <w:rFonts w:cstheme="minorHAnsi"/>
        </w:rPr>
        <w:t xml:space="preserve">й коэффициент, </w:t>
      </w:r>
      <w:r w:rsidR="00E46793">
        <w:rPr>
          <w:rFonts w:cstheme="minorHAnsi"/>
        </w:rPr>
        <w:t>в соответствии с Тарифным соглашением 2020 равный 1,2505 (одной целой двум тысячам пятистам пяти десятитысячным) и</w:t>
      </w:r>
      <w:r w:rsidR="00B46122">
        <w:rPr>
          <w:rFonts w:cstheme="minorHAnsi"/>
        </w:rPr>
        <w:t xml:space="preserve"> </w:t>
      </w:r>
      <w:r w:rsidR="00CE486E">
        <w:rPr>
          <w:rFonts w:cstheme="minorHAnsi"/>
        </w:rPr>
        <w:t>рассчитываемый как произведение устанавливаемых на уровне Республики Татарстан поправочных коэффициентов:</w:t>
      </w:r>
    </w:p>
    <w:p w14:paraId="18459D33" w14:textId="17DD5D08" w:rsidR="00525015" w:rsidRDefault="000A5B4D" w:rsidP="00FA28EC">
      <w:pPr>
        <w:spacing w:after="240"/>
        <w:ind w:left="567"/>
        <w:jc w:val="both"/>
        <w:rPr>
          <w:rFonts w:cstheme="minorHAnsi"/>
        </w:rPr>
      </w:pPr>
      <w:r>
        <w:rPr>
          <w:rFonts w:cstheme="minorHAnsi"/>
        </w:rPr>
        <w:t>а)</w:t>
      </w:r>
      <w:r w:rsidR="004828F6" w:rsidRPr="00C638F3">
        <w:rPr>
          <w:rFonts w:cstheme="minorHAnsi"/>
        </w:rPr>
        <w:t xml:space="preserve"> </w:t>
      </w:r>
      <w:r w:rsidR="00CE486E">
        <w:rPr>
          <w:rFonts w:cstheme="minorHAnsi"/>
        </w:rPr>
        <w:t>управленческого коэффициента</w:t>
      </w:r>
      <w:r w:rsidR="0035639E">
        <w:rPr>
          <w:rFonts w:cstheme="minorHAnsi"/>
        </w:rPr>
        <w:t xml:space="preserve"> (УК)</w:t>
      </w:r>
      <w:r w:rsidR="00653BCE" w:rsidRPr="00653BCE">
        <w:rPr>
          <w:rFonts w:cstheme="minorHAnsi"/>
        </w:rPr>
        <w:t xml:space="preserve"> - устанавливаем</w:t>
      </w:r>
      <w:r w:rsidR="007F4F32">
        <w:rPr>
          <w:rFonts w:cstheme="minorHAnsi"/>
        </w:rPr>
        <w:t>ого</w:t>
      </w:r>
      <w:r w:rsidR="00653BCE" w:rsidRPr="00653BCE">
        <w:rPr>
          <w:rFonts w:cstheme="minorHAnsi"/>
        </w:rPr>
        <w:t xml:space="preserve"> на территориальном уровне коэффициент</w:t>
      </w:r>
      <w:r w:rsidR="007F4F32">
        <w:rPr>
          <w:rFonts w:cstheme="minorHAnsi"/>
        </w:rPr>
        <w:t>а</w:t>
      </w:r>
      <w:r w:rsidR="00653BCE" w:rsidRPr="00653BCE">
        <w:rPr>
          <w:rFonts w:cstheme="minorHAnsi"/>
        </w:rPr>
        <w:t>, позволяющ</w:t>
      </w:r>
      <w:r w:rsidR="007F4F32">
        <w:rPr>
          <w:rFonts w:cstheme="minorHAnsi"/>
        </w:rPr>
        <w:t>его</w:t>
      </w:r>
      <w:r w:rsidR="00653BCE" w:rsidRPr="00653BCE">
        <w:rPr>
          <w:rFonts w:cstheme="minorHAnsi"/>
        </w:rPr>
        <w:t xml:space="preserve">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 заболеваний.</w:t>
      </w:r>
      <w:r w:rsidR="0035639E">
        <w:rPr>
          <w:rFonts w:cstheme="minorHAnsi"/>
        </w:rPr>
        <w:t xml:space="preserve"> </w:t>
      </w:r>
    </w:p>
    <w:p w14:paraId="4FD4D7DA" w14:textId="310964CC" w:rsidR="0035639E" w:rsidRDefault="0035639E" w:rsidP="00FA28EC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Тарифным Соглашением 2020 управленческий коэффициент для </w:t>
      </w:r>
      <w:r w:rsidR="0007069B">
        <w:rPr>
          <w:rFonts w:cstheme="minorHAnsi"/>
        </w:rPr>
        <w:t>КСГ</w:t>
      </w:r>
      <w:r w:rsidR="0007069B" w:rsidRPr="0007069B">
        <w:rPr>
          <w:rFonts w:cstheme="minorHAnsi"/>
        </w:rPr>
        <w:t>,</w:t>
      </w:r>
      <w:r w:rsidR="0007069B">
        <w:rPr>
          <w:rFonts w:cstheme="minorHAnsi"/>
        </w:rPr>
        <w:t xml:space="preserve"> </w:t>
      </w:r>
      <w:r>
        <w:rPr>
          <w:rFonts w:cstheme="minorHAnsi"/>
        </w:rPr>
        <w:t>указанных в настоящем Приложении 15</w:t>
      </w:r>
      <w:r w:rsidR="0007069B">
        <w:rPr>
          <w:rFonts w:cstheme="minorHAnsi"/>
        </w:rPr>
        <w:t>,</w:t>
      </w:r>
      <w:r>
        <w:rPr>
          <w:rFonts w:cstheme="minorHAnsi"/>
        </w:rPr>
        <w:t xml:space="preserve"> не предусмотрен, поэтому он считается равным </w:t>
      </w:r>
      <w:r w:rsidR="00653BCE" w:rsidRPr="00653BCE">
        <w:rPr>
          <w:rFonts w:cstheme="minorHAnsi"/>
        </w:rPr>
        <w:t>1 (</w:t>
      </w:r>
      <w:r>
        <w:rPr>
          <w:rFonts w:cstheme="minorHAnsi"/>
        </w:rPr>
        <w:t>единице</w:t>
      </w:r>
      <w:r w:rsidR="00653BCE" w:rsidRPr="00653BCE">
        <w:rPr>
          <w:rFonts w:cstheme="minorHAnsi"/>
        </w:rPr>
        <w:t>)</w:t>
      </w:r>
      <w:r>
        <w:rPr>
          <w:rFonts w:cstheme="minorHAnsi"/>
        </w:rPr>
        <w:t>;</w:t>
      </w:r>
    </w:p>
    <w:p w14:paraId="506CAC17" w14:textId="77777777" w:rsidR="005F542D" w:rsidRDefault="005F542D" w:rsidP="00165EBF">
      <w:pPr>
        <w:spacing w:after="0"/>
        <w:ind w:left="567"/>
        <w:jc w:val="both"/>
        <w:rPr>
          <w:rFonts w:cstheme="minorHAnsi"/>
        </w:rPr>
      </w:pPr>
    </w:p>
    <w:p w14:paraId="1F6EC924" w14:textId="1016B676" w:rsidR="007F4F32" w:rsidRDefault="0035639E" w:rsidP="00FA28EC">
      <w:pPr>
        <w:spacing w:after="240"/>
        <w:ind w:left="567"/>
        <w:jc w:val="both"/>
        <w:rPr>
          <w:rFonts w:cstheme="minorHAnsi"/>
        </w:rPr>
      </w:pPr>
      <w:r>
        <w:rPr>
          <w:rFonts w:cstheme="minorHAnsi"/>
        </w:rPr>
        <w:t>б)</w:t>
      </w:r>
      <w:r w:rsidR="00653BCE" w:rsidRPr="00C60B03">
        <w:rPr>
          <w:rFonts w:cstheme="minorHAnsi"/>
        </w:rPr>
        <w:t xml:space="preserve"> </w:t>
      </w:r>
      <w:r w:rsidR="007F4F32" w:rsidRPr="007F4F32">
        <w:rPr>
          <w:rFonts w:cstheme="minorHAnsi"/>
        </w:rPr>
        <w:t>коэффициента подуровня оказания медицинской помощи</w:t>
      </w:r>
      <w:r w:rsidR="004B552E">
        <w:rPr>
          <w:rFonts w:cstheme="minorHAnsi"/>
        </w:rPr>
        <w:t xml:space="preserve"> (КП)</w:t>
      </w:r>
      <w:r w:rsidR="007F4F32">
        <w:rPr>
          <w:rFonts w:cstheme="minorHAnsi"/>
        </w:rPr>
        <w:t>*</w:t>
      </w:r>
      <w:r w:rsidR="007F4F32" w:rsidRPr="007F4F32">
        <w:rPr>
          <w:rFonts w:cstheme="minorHAnsi"/>
        </w:rPr>
        <w:t xml:space="preserve"> - коэффициент</w:t>
      </w:r>
      <w:r w:rsidR="007F4F32">
        <w:rPr>
          <w:rFonts w:cstheme="minorHAnsi"/>
        </w:rPr>
        <w:t>а</w:t>
      </w:r>
      <w:r w:rsidR="007F4F32" w:rsidRPr="007F4F32">
        <w:rPr>
          <w:rFonts w:cstheme="minorHAnsi"/>
        </w:rPr>
        <w:t>, позволяющ</w:t>
      </w:r>
      <w:r w:rsidR="00874042">
        <w:rPr>
          <w:rFonts w:cstheme="minorHAnsi"/>
        </w:rPr>
        <w:t>его</w:t>
      </w:r>
      <w:r w:rsidR="007F4F32" w:rsidRPr="007F4F32">
        <w:rPr>
          <w:rFonts w:cstheme="minorHAnsi"/>
        </w:rPr>
        <w:t xml:space="preserve"> учесть различия в размерах расходов медицинских организаций, относящихся к одному уровню оказания медицинской помощи</w:t>
      </w:r>
      <w:r w:rsidR="007F4F32">
        <w:rPr>
          <w:rFonts w:cstheme="minorHAnsi"/>
        </w:rPr>
        <w:t>.</w:t>
      </w:r>
    </w:p>
    <w:p w14:paraId="6842E3B2" w14:textId="457E8FE5" w:rsidR="007F4F32" w:rsidRDefault="00874042" w:rsidP="00FA28EC">
      <w:pPr>
        <w:spacing w:after="240"/>
        <w:ind w:left="56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Стороны исходят из того, что </w:t>
      </w:r>
      <w:r w:rsidR="005D6605">
        <w:rPr>
          <w:rFonts w:cstheme="minorHAnsi"/>
        </w:rPr>
        <w:t>к Частному партнеру будет применяться</w:t>
      </w:r>
      <w:r w:rsidR="004B552E">
        <w:rPr>
          <w:rFonts w:cstheme="minorHAnsi"/>
        </w:rPr>
        <w:t xml:space="preserve"> подуровень оказания медицинской помощи 2.3 и установленный для такого подуровня Тарифным Соглашением 2020 коэффициент подуровня оказания медицинской помощи, равный 1,2505 (одна целая две тысячи пятьсот пять десятитысячных).</w:t>
      </w:r>
    </w:p>
    <w:p w14:paraId="23632B72" w14:textId="5C4ABE39" w:rsidR="004B552E" w:rsidRDefault="004B552E" w:rsidP="00FA28EC">
      <w:pPr>
        <w:spacing w:after="24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*Поскольку Тарифным Соглашением 2020 установлены коэффициенты подуровня оказания медицинской помощи, коэффициент уровня оказания медицинской помощи не </w:t>
      </w:r>
      <w:r w:rsidR="0027741F">
        <w:rPr>
          <w:rFonts w:cstheme="minorHAnsi"/>
        </w:rPr>
        <w:t>применяется.</w:t>
      </w:r>
    </w:p>
    <w:p w14:paraId="3A707663" w14:textId="76F12806" w:rsidR="0027741F" w:rsidRDefault="0027741F" w:rsidP="00FA28EC">
      <w:pPr>
        <w:spacing w:after="240"/>
        <w:ind w:left="567"/>
        <w:jc w:val="both"/>
        <w:rPr>
          <w:rFonts w:cstheme="minorHAnsi"/>
        </w:rPr>
      </w:pPr>
      <w:r>
        <w:rPr>
          <w:rFonts w:cstheme="minorHAnsi"/>
        </w:rPr>
        <w:t>в) коэффициента сложности лечения пациентов</w:t>
      </w:r>
      <w:r w:rsidR="007E4AC7">
        <w:rPr>
          <w:rFonts w:cstheme="minorHAnsi"/>
        </w:rPr>
        <w:t xml:space="preserve"> – коэффициента, учитывающего более высокий уровень затрат на оказание медицинской помощи в связи со сложностью лечения.</w:t>
      </w:r>
    </w:p>
    <w:p w14:paraId="125A3D19" w14:textId="705376B4" w:rsidR="007E4AC7" w:rsidRDefault="007E4AC7" w:rsidP="00FA28EC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Тарифным Соглашением 2020 для КСГ</w:t>
      </w:r>
      <w:r w:rsidRPr="0007069B">
        <w:rPr>
          <w:rFonts w:cstheme="minorHAnsi"/>
        </w:rPr>
        <w:t>,</w:t>
      </w:r>
      <w:r>
        <w:rPr>
          <w:rFonts w:cstheme="minorHAnsi"/>
        </w:rPr>
        <w:t xml:space="preserve"> указанных в настоящем Приложении 15, коэффициент сложности лечения пациентов не предусмотрен, поэтому он считается равным </w:t>
      </w:r>
      <w:r w:rsidRPr="00653BCE">
        <w:rPr>
          <w:rFonts w:cstheme="minorHAnsi"/>
        </w:rPr>
        <w:t>1 (</w:t>
      </w:r>
      <w:r>
        <w:rPr>
          <w:rFonts w:cstheme="minorHAnsi"/>
        </w:rPr>
        <w:t>единице</w:t>
      </w:r>
      <w:r w:rsidRPr="00653BCE">
        <w:rPr>
          <w:rFonts w:cstheme="minorHAnsi"/>
        </w:rPr>
        <w:t>)</w:t>
      </w:r>
      <w:r>
        <w:rPr>
          <w:rFonts w:cstheme="minorHAnsi"/>
        </w:rPr>
        <w:t>.</w:t>
      </w:r>
    </w:p>
    <w:p w14:paraId="4CFDCFCD" w14:textId="77777777" w:rsidR="00165EBF" w:rsidRDefault="00165EBF" w:rsidP="00165EBF">
      <w:pPr>
        <w:spacing w:after="0"/>
        <w:ind w:left="567"/>
        <w:jc w:val="both"/>
        <w:rPr>
          <w:rFonts w:cstheme="minorHAnsi"/>
        </w:rPr>
      </w:pPr>
    </w:p>
    <w:p w14:paraId="62642FF7" w14:textId="7534D115" w:rsidR="00165EBF" w:rsidRDefault="00B46122" w:rsidP="00FA28EC">
      <w:pPr>
        <w:spacing w:after="24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theme="minorHAnsi"/>
        </w:rPr>
        <w:t>2.4.</w:t>
      </w:r>
      <w:r w:rsidR="00011213" w:rsidRPr="00FA28EC">
        <w:rPr>
          <w:noProof/>
          <w:lang w:val="en-US"/>
        </w:rPr>
        <w:drawing>
          <wp:inline distT="0" distB="0" distL="0" distR="0" wp14:anchorId="62A87FDC" wp14:editId="753DF98E">
            <wp:extent cx="466725" cy="285750"/>
            <wp:effectExtent l="0" t="0" r="9525" b="0"/>
            <wp:docPr id="3" name="Рисунок 3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213" w:rsidRPr="00011213">
        <w:rPr>
          <w:rFonts w:cstheme="minorHAnsi"/>
        </w:rPr>
        <w:t> - коэффициент дифференциации, рассчитанный в соответствии с </w:t>
      </w:r>
      <w:hyperlink r:id="rId11" w:history="1">
        <w:r w:rsidR="00011213" w:rsidRPr="00011213">
          <w:rPr>
            <w:rFonts w:cstheme="minorHAnsi"/>
          </w:rPr>
          <w:t>постановлением Правительства Российской Федерации от 5 мая 2012 года N 462 "О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страхования"</w:t>
        </w:r>
      </w:hyperlink>
      <w:r w:rsidR="00011213" w:rsidRPr="00011213">
        <w:rPr>
          <w:rFonts w:cstheme="minorHAnsi"/>
        </w:rPr>
        <w:t>. Для Республики Татарстан </w:t>
      </w:r>
      <w:r w:rsidR="00F0539C" w:rsidRPr="00FA28EC">
        <w:rPr>
          <w:noProof/>
          <w:lang w:val="en-US"/>
        </w:rPr>
        <w:drawing>
          <wp:inline distT="0" distB="0" distL="0" distR="0" wp14:anchorId="27C0AF21" wp14:editId="260B47AD">
            <wp:extent cx="466725" cy="285750"/>
            <wp:effectExtent l="0" t="0" r="9525" b="0"/>
            <wp:docPr id="5" name="Рисунок 5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Тарифное соглашение об оплате медицинской помощи по Территориальной программе обязательного медицинского страхования Республики Татарстан на 2020 год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539C">
        <w:rPr>
          <w:rFonts w:cstheme="minorHAnsi"/>
        </w:rPr>
        <w:t>равен 1 (единице)</w:t>
      </w:r>
      <w:r w:rsidR="00011213" w:rsidRPr="00011213">
        <w:rPr>
          <w:rFonts w:cstheme="minorHAnsi"/>
        </w:rPr>
        <w:t>.</w:t>
      </w:r>
      <w:r w:rsidR="00011213" w:rsidRPr="005660A1">
        <w:rPr>
          <w:rFonts w:ascii="Times New Roman" w:hAnsi="Times New Roman" w:cs="Times New Roman"/>
          <w:sz w:val="28"/>
          <w:szCs w:val="28"/>
        </w:rPr>
        <w:tab/>
      </w:r>
    </w:p>
    <w:p w14:paraId="5CD9944E" w14:textId="45FC2774" w:rsidR="005539E4" w:rsidRDefault="00AA045D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>П</w:t>
      </w:r>
      <w:r w:rsidR="00AB022C" w:rsidRPr="000764A3">
        <w:rPr>
          <w:rFonts w:cstheme="minorHAnsi"/>
        </w:rPr>
        <w:t xml:space="preserve">редусмотренные пунктом 1 раздела </w:t>
      </w:r>
      <w:r w:rsidR="00AB022C" w:rsidRPr="00FA28EC">
        <w:t>II</w:t>
      </w:r>
      <w:r w:rsidR="004022ED">
        <w:rPr>
          <w:lang w:val="en-US"/>
        </w:rPr>
        <w:t>I</w:t>
      </w:r>
      <w:r w:rsidR="00AB022C" w:rsidRPr="000764A3">
        <w:rPr>
          <w:rFonts w:cstheme="minorHAnsi"/>
        </w:rPr>
        <w:t xml:space="preserve"> настоящего Приложения </w:t>
      </w:r>
      <w:r w:rsidR="00D867BB">
        <w:rPr>
          <w:rFonts w:cstheme="minorHAnsi"/>
        </w:rPr>
        <w:t xml:space="preserve">№ </w:t>
      </w:r>
      <w:r w:rsidR="00AB022C" w:rsidRPr="000764A3">
        <w:rPr>
          <w:rFonts w:cstheme="minorHAnsi"/>
        </w:rPr>
        <w:t>15</w:t>
      </w:r>
      <w:r w:rsidR="00AB022C">
        <w:rPr>
          <w:rFonts w:cstheme="minorHAnsi"/>
        </w:rPr>
        <w:t xml:space="preserve"> </w:t>
      </w:r>
      <w:r w:rsidR="00ED665D">
        <w:rPr>
          <w:rFonts w:cstheme="minorHAnsi"/>
        </w:rPr>
        <w:t>П</w:t>
      </w:r>
      <w:r w:rsidR="00AB022C">
        <w:rPr>
          <w:rFonts w:cstheme="minorHAnsi"/>
        </w:rPr>
        <w:t>рогнозные</w:t>
      </w:r>
      <w:r w:rsidR="00AB022C" w:rsidRPr="000764A3">
        <w:rPr>
          <w:rFonts w:cstheme="minorHAnsi"/>
        </w:rPr>
        <w:t xml:space="preserve"> показатели выручки Частного партнера, в</w:t>
      </w:r>
      <w:r w:rsidR="00ED665D">
        <w:rPr>
          <w:rFonts w:cstheme="minorHAnsi"/>
        </w:rPr>
        <w:t xml:space="preserve"> том числе</w:t>
      </w:r>
      <w:r w:rsidR="00AB022C" w:rsidRPr="000764A3">
        <w:rPr>
          <w:rFonts w:cstheme="minorHAnsi"/>
        </w:rPr>
        <w:t>, тарифы законченного случая лечения, рассчита</w:t>
      </w:r>
      <w:r w:rsidR="00730AA9">
        <w:rPr>
          <w:rFonts w:cstheme="minorHAnsi"/>
        </w:rPr>
        <w:t>н</w:t>
      </w:r>
      <w:r w:rsidR="00AB022C" w:rsidRPr="000764A3">
        <w:rPr>
          <w:rFonts w:cstheme="minorHAnsi"/>
        </w:rPr>
        <w:t>ны</w:t>
      </w:r>
      <w:r w:rsidR="00730AA9">
        <w:rPr>
          <w:rFonts w:cstheme="minorHAnsi"/>
        </w:rPr>
        <w:t>е</w:t>
      </w:r>
      <w:r w:rsidR="00AB022C" w:rsidRPr="000764A3">
        <w:rPr>
          <w:rFonts w:cstheme="minorHAnsi"/>
        </w:rPr>
        <w:t xml:space="preserve"> в соответствии с </w:t>
      </w:r>
      <w:r w:rsidR="00AB022C" w:rsidRPr="00B161E9">
        <w:rPr>
          <w:rFonts w:cstheme="minorHAnsi"/>
        </w:rPr>
        <w:t xml:space="preserve">Тарифным </w:t>
      </w:r>
      <w:r w:rsidR="00730AA9">
        <w:rPr>
          <w:rFonts w:cstheme="minorHAnsi"/>
        </w:rPr>
        <w:t xml:space="preserve">Соглашением 2020, подлежат ежегодной индексации </w:t>
      </w:r>
      <w:r w:rsidR="00ED665D">
        <w:rPr>
          <w:rFonts w:cstheme="minorHAnsi"/>
        </w:rPr>
        <w:t>на индекс потребительских</w:t>
      </w:r>
      <w:r w:rsidR="003D145D">
        <w:rPr>
          <w:rFonts w:cstheme="minorHAnsi"/>
        </w:rPr>
        <w:t xml:space="preserve"> цен на товары и услуги по Российской Федерации</w:t>
      </w:r>
      <w:r w:rsidR="003D145D" w:rsidRPr="003D145D">
        <w:rPr>
          <w:rFonts w:cstheme="minorHAnsi"/>
        </w:rPr>
        <w:t>, публикуемый Федеральной службой государственной статистики</w:t>
      </w:r>
      <w:r w:rsidR="003D145D">
        <w:rPr>
          <w:rFonts w:cstheme="minorHAnsi"/>
        </w:rPr>
        <w:t>,</w:t>
      </w:r>
      <w:r w:rsidR="003D145D" w:rsidRPr="003D145D">
        <w:rPr>
          <w:rFonts w:cstheme="minorHAnsi"/>
        </w:rPr>
        <w:t xml:space="preserve"> </w:t>
      </w:r>
      <w:r w:rsidR="003D145D">
        <w:rPr>
          <w:rFonts w:cstheme="minorHAnsi"/>
        </w:rPr>
        <w:t>в соответствии с Приложением 20 к Соглашению</w:t>
      </w:r>
      <w:r>
        <w:rPr>
          <w:rFonts w:cstheme="minorHAnsi"/>
        </w:rPr>
        <w:t xml:space="preserve"> (далее – «</w:t>
      </w:r>
      <w:r w:rsidRPr="00FA28EC">
        <w:rPr>
          <w:b/>
        </w:rPr>
        <w:t>Индексация</w:t>
      </w:r>
      <w:r>
        <w:rPr>
          <w:rFonts w:cstheme="minorHAnsi"/>
        </w:rPr>
        <w:t>»)</w:t>
      </w:r>
      <w:r w:rsidR="003D145D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7E85AC56" w14:textId="710E300B" w:rsidR="00AB022C" w:rsidRPr="00C0303A" w:rsidRDefault="00403F9E" w:rsidP="00C0303A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Прогнозные показатели выручки Частного партнера за каждый календарный год Эксплуатации рассчитываются в соответствии с тарифами, установленными Тарифным соглашением Республики на соответствующий календарный год Эксплуатации. </w:t>
      </w:r>
      <w:r w:rsidR="00C0303A">
        <w:rPr>
          <w:rFonts w:cstheme="minorHAnsi"/>
        </w:rPr>
        <w:t xml:space="preserve">При этом, </w:t>
      </w:r>
      <w:r w:rsidR="007408FA" w:rsidRPr="00C0303A">
        <w:rPr>
          <w:rFonts w:cstheme="minorHAnsi"/>
        </w:rPr>
        <w:t>Стороны исходят из того, что в</w:t>
      </w:r>
      <w:r w:rsidR="00AA045D" w:rsidRPr="00C0303A">
        <w:rPr>
          <w:rFonts w:cstheme="minorHAnsi"/>
        </w:rPr>
        <w:t>ыручка Частного партнера</w:t>
      </w:r>
      <w:r w:rsidR="005539E4" w:rsidRPr="00C0303A">
        <w:rPr>
          <w:rFonts w:cstheme="minorHAnsi"/>
        </w:rPr>
        <w:t xml:space="preserve"> за каждый календарный год Эксплуатации должна быть не ниже </w:t>
      </w:r>
      <w:r w:rsidRPr="00C0303A">
        <w:rPr>
          <w:rFonts w:cstheme="minorHAnsi"/>
        </w:rPr>
        <w:t xml:space="preserve">Прогнозных показателей выручки Частного партнера, рассчитанных в соответствии с тарифами, установленными Тарифным соглашением Республики </w:t>
      </w:r>
      <w:r w:rsidR="0087076A" w:rsidRPr="00C0303A">
        <w:rPr>
          <w:rFonts w:cstheme="minorHAnsi"/>
        </w:rPr>
        <w:t xml:space="preserve">Татарстан </w:t>
      </w:r>
      <w:r w:rsidRPr="00C0303A">
        <w:rPr>
          <w:rFonts w:cstheme="minorHAnsi"/>
        </w:rPr>
        <w:t>на соответствующий календарный год Эксплуатации</w:t>
      </w:r>
      <w:r w:rsidR="0087076A" w:rsidRPr="00C0303A">
        <w:rPr>
          <w:rFonts w:cstheme="minorHAnsi"/>
        </w:rPr>
        <w:t>, и не ниже</w:t>
      </w:r>
      <w:r w:rsidR="000F13EC" w:rsidRPr="00C0303A">
        <w:rPr>
          <w:rFonts w:cstheme="minorHAnsi"/>
        </w:rPr>
        <w:t xml:space="preserve"> </w:t>
      </w:r>
      <w:r w:rsidR="0087076A" w:rsidRPr="00C0303A">
        <w:rPr>
          <w:rFonts w:cstheme="minorHAnsi"/>
        </w:rPr>
        <w:t>Прогнозных показателей выручки Частного партнера, рассчитанных в соответствии с тарифами, установленными Тарифным соглашением 2020 с учетом их Индексации</w:t>
      </w:r>
      <w:r w:rsidR="005539E4" w:rsidRPr="00C0303A">
        <w:rPr>
          <w:rFonts w:cstheme="minorHAnsi"/>
        </w:rPr>
        <w:t>.</w:t>
      </w:r>
    </w:p>
    <w:p w14:paraId="05843021" w14:textId="10E8859C" w:rsidR="005539E4" w:rsidRDefault="000F13EC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В каждый календарный год Эксплуатации </w:t>
      </w:r>
      <w:r w:rsidR="005539E4">
        <w:rPr>
          <w:rFonts w:cstheme="minorHAnsi"/>
        </w:rPr>
        <w:t xml:space="preserve">к </w:t>
      </w:r>
      <w:r w:rsidR="00D94966">
        <w:rPr>
          <w:rFonts w:cstheme="minorHAnsi"/>
        </w:rPr>
        <w:t xml:space="preserve">Основным медицинским услугам, </w:t>
      </w:r>
      <w:r w:rsidR="005539E4">
        <w:rPr>
          <w:rFonts w:cstheme="minorHAnsi"/>
        </w:rPr>
        <w:t>оказываемым в соответствии с Соглашением</w:t>
      </w:r>
      <w:r w:rsidR="00D94966">
        <w:rPr>
          <w:rFonts w:cstheme="minorHAnsi"/>
        </w:rPr>
        <w:t>,</w:t>
      </w:r>
      <w:r w:rsidR="005539E4">
        <w:rPr>
          <w:rFonts w:cstheme="minorHAnsi"/>
        </w:rPr>
        <w:t xml:space="preserve"> </w:t>
      </w:r>
      <w:r>
        <w:rPr>
          <w:rFonts w:cstheme="minorHAnsi"/>
        </w:rPr>
        <w:t xml:space="preserve">подлежат применению </w:t>
      </w:r>
      <w:r w:rsidR="005539E4">
        <w:rPr>
          <w:rFonts w:cstheme="minorHAnsi"/>
        </w:rPr>
        <w:t xml:space="preserve">тарифы </w:t>
      </w:r>
      <w:r w:rsidR="005539E4">
        <w:rPr>
          <w:rFonts w:cstheme="minorHAnsi"/>
        </w:rPr>
        <w:lastRenderedPageBreak/>
        <w:t>законченного случая лечения</w:t>
      </w:r>
      <w:r>
        <w:rPr>
          <w:rFonts w:cstheme="minorHAnsi"/>
        </w:rPr>
        <w:t xml:space="preserve">, установленные Тарифным соглашением Республики Татарстан на соответствующий календарный год Эксплуатации. </w:t>
      </w:r>
      <w:r w:rsidR="007408FA">
        <w:rPr>
          <w:rFonts w:cstheme="minorHAnsi"/>
        </w:rPr>
        <w:t>При этом Стороны исходят из того, что т</w:t>
      </w:r>
      <w:r>
        <w:rPr>
          <w:rFonts w:cstheme="minorHAnsi"/>
        </w:rPr>
        <w:t>акие тарифы</w:t>
      </w:r>
      <w:r w:rsidR="005539E4">
        <w:rPr>
          <w:rFonts w:cstheme="minorHAnsi"/>
        </w:rPr>
        <w:t xml:space="preserve"> </w:t>
      </w:r>
      <w:r w:rsidR="00D94966">
        <w:rPr>
          <w:rFonts w:cstheme="minorHAnsi"/>
        </w:rPr>
        <w:t>должны быть не ниже тарифов, рассчитанных в соответствии с Тарифным Соглашением 2020, с учетом их Индексации.</w:t>
      </w:r>
    </w:p>
    <w:p w14:paraId="287CDA37" w14:textId="5C15F425" w:rsidR="00D94966" w:rsidRDefault="005E3513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>Коэффициенты, используемые для расчета тарифов законченного случая лечения, должны в каждый год Эксплуатации быть не ниже таких коэффициентов, установленных Тарифным Соглашением 2020.</w:t>
      </w:r>
    </w:p>
    <w:p w14:paraId="51440CF4" w14:textId="67F3D63C" w:rsidR="005E3513" w:rsidRPr="003B715A" w:rsidRDefault="005E3513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 w:rsidRPr="003B715A">
        <w:rPr>
          <w:rFonts w:cstheme="minorHAnsi"/>
        </w:rPr>
        <w:t>Если до Даты прекращения действия соглашения</w:t>
      </w:r>
      <w:r w:rsidR="00DD5251" w:rsidRPr="003B715A">
        <w:rPr>
          <w:rFonts w:cstheme="minorHAnsi"/>
        </w:rPr>
        <w:t xml:space="preserve"> методика </w:t>
      </w:r>
      <w:r w:rsidR="00B601B9">
        <w:rPr>
          <w:rFonts w:cstheme="minorHAnsi"/>
        </w:rPr>
        <w:t xml:space="preserve">(порядок) </w:t>
      </w:r>
      <w:r w:rsidR="00DD5251" w:rsidRPr="003B715A">
        <w:rPr>
          <w:rFonts w:cstheme="minorHAnsi"/>
        </w:rPr>
        <w:t xml:space="preserve">расчета применимых к Соглашению тарифов законченного случая лечения будет изменена (в частности, какой-либо коэффициент будет </w:t>
      </w:r>
      <w:r w:rsidR="008D584D" w:rsidRPr="003B715A">
        <w:rPr>
          <w:rFonts w:cstheme="minorHAnsi"/>
        </w:rPr>
        <w:t>отменен или заменен</w:t>
      </w:r>
      <w:r w:rsidR="00B601B9">
        <w:rPr>
          <w:rFonts w:cstheme="minorHAnsi"/>
        </w:rPr>
        <w:t>, или в методику будут внесены другие изменения</w:t>
      </w:r>
      <w:r w:rsidR="008D584D" w:rsidRPr="003B715A">
        <w:rPr>
          <w:rFonts w:cstheme="minorHAnsi"/>
        </w:rPr>
        <w:t>)</w:t>
      </w:r>
      <w:r w:rsidR="003B715A" w:rsidRPr="003B715A">
        <w:rPr>
          <w:rFonts w:cstheme="minorHAnsi"/>
        </w:rPr>
        <w:t>, такое изменение не должно приводить к уменьшению Прогнозных показателей Частного партнера и/или ущемлению интересов Частного партнера.</w:t>
      </w:r>
    </w:p>
    <w:p w14:paraId="0B4883CB" w14:textId="1ED6A2E1" w:rsidR="00127272" w:rsidRDefault="00127272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Для случаев, когда Эксплуатация осуществляется в течение неполного календарного года (в частности, Эксплуатация в период между Датой начала стадии эксплуатации и окончанием календарного года, в котором была начата Эксплуатация), установленные в пункте 1 раздела </w:t>
      </w:r>
      <w:r w:rsidRPr="00FA28EC">
        <w:t>II</w:t>
      </w:r>
      <w:r w:rsidR="004022ED">
        <w:rPr>
          <w:lang w:val="en-US"/>
        </w:rPr>
        <w:t>I</w:t>
      </w:r>
      <w:r w:rsidRPr="00F87010">
        <w:rPr>
          <w:rFonts w:cstheme="minorHAnsi"/>
        </w:rPr>
        <w:t xml:space="preserve"> </w:t>
      </w:r>
      <w:r>
        <w:rPr>
          <w:rFonts w:cstheme="minorHAnsi"/>
        </w:rPr>
        <w:t xml:space="preserve">настоящего Приложения </w:t>
      </w:r>
      <w:r w:rsidR="00D867BB">
        <w:rPr>
          <w:rFonts w:cstheme="minorHAnsi"/>
        </w:rPr>
        <w:t xml:space="preserve">№ </w:t>
      </w:r>
      <w:r w:rsidR="0032148A">
        <w:rPr>
          <w:rFonts w:cstheme="minorHAnsi"/>
        </w:rPr>
        <w:t xml:space="preserve">15 </w:t>
      </w:r>
      <w:r w:rsidR="00F221D5">
        <w:rPr>
          <w:rFonts w:cstheme="minorHAnsi"/>
        </w:rPr>
        <w:t>Прогнозные</w:t>
      </w:r>
      <w:r w:rsidR="00F221D5" w:rsidRPr="000764A3">
        <w:rPr>
          <w:rFonts w:cstheme="minorHAnsi"/>
        </w:rPr>
        <w:t xml:space="preserve"> показатели выручки Частного партнера</w:t>
      </w:r>
      <w:r>
        <w:rPr>
          <w:rFonts w:cstheme="minorHAnsi"/>
        </w:rPr>
        <w:t xml:space="preserve"> рассчитываются путем умножения предусмотренно</w:t>
      </w:r>
      <w:r w:rsidR="00890750">
        <w:rPr>
          <w:rFonts w:cstheme="minorHAnsi"/>
        </w:rPr>
        <w:t>й</w:t>
      </w:r>
      <w:r>
        <w:rPr>
          <w:rFonts w:cstheme="minorHAnsi"/>
        </w:rPr>
        <w:t xml:space="preserve"> в пункте 1 раздела </w:t>
      </w:r>
      <w:r w:rsidRPr="00FA28EC">
        <w:t>I</w:t>
      </w:r>
      <w:r w:rsidR="00890750" w:rsidRPr="00FA28EC">
        <w:t>I</w:t>
      </w:r>
      <w:r w:rsidR="004022ED">
        <w:rPr>
          <w:lang w:val="en-US"/>
        </w:rPr>
        <w:t>I</w:t>
      </w:r>
      <w:r w:rsidRPr="00F87010">
        <w:rPr>
          <w:rFonts w:cstheme="minorHAnsi"/>
        </w:rPr>
        <w:t xml:space="preserve"> </w:t>
      </w:r>
      <w:r>
        <w:rPr>
          <w:rFonts w:cstheme="minorHAnsi"/>
        </w:rPr>
        <w:t xml:space="preserve">настоящего Приложения </w:t>
      </w:r>
      <w:r w:rsidR="00890750">
        <w:rPr>
          <w:rFonts w:cstheme="minorHAnsi"/>
        </w:rPr>
        <w:t>стоимости законченных случаев</w:t>
      </w:r>
      <w:r w:rsidR="00425A30">
        <w:rPr>
          <w:rFonts w:cstheme="minorHAnsi"/>
        </w:rPr>
        <w:t xml:space="preserve"> лечения</w:t>
      </w:r>
      <w:r>
        <w:rPr>
          <w:rFonts w:cstheme="minorHAnsi"/>
        </w:rPr>
        <w:t xml:space="preserve"> на количество Рабочих дней, приходящихся на период неполного календарного года, в течение которого осуществлялась Эксплуатация (например, период между Датой начала стадии эксплуатации и 31 декабря календарного года, в котором была начата эксплуатация), и деления на общее количество Рабочих дней такого календарного года.</w:t>
      </w:r>
    </w:p>
    <w:p w14:paraId="10893D76" w14:textId="065DDB49" w:rsidR="005F3B49" w:rsidRPr="00124128" w:rsidRDefault="00127272" w:rsidP="00FA28EC">
      <w:pPr>
        <w:pStyle w:val="ListParagraph"/>
        <w:numPr>
          <w:ilvl w:val="0"/>
          <w:numId w:val="20"/>
        </w:numPr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Прогнозные показатели </w:t>
      </w:r>
      <w:r w:rsidR="0032148A">
        <w:rPr>
          <w:rFonts w:cstheme="minorHAnsi"/>
        </w:rPr>
        <w:t xml:space="preserve">выручки Частного партнера </w:t>
      </w:r>
      <w:r>
        <w:rPr>
          <w:rFonts w:cstheme="minorHAnsi"/>
        </w:rPr>
        <w:t xml:space="preserve">представлены в виде Таблицы </w:t>
      </w:r>
      <w:r w:rsidR="00954968">
        <w:rPr>
          <w:rFonts w:cstheme="minorHAnsi"/>
        </w:rPr>
        <w:t>3</w:t>
      </w:r>
      <w:r>
        <w:rPr>
          <w:rFonts w:cstheme="minorHAnsi"/>
        </w:rPr>
        <w:t xml:space="preserve"> «</w:t>
      </w:r>
      <w:r w:rsidR="00197522" w:rsidRPr="00197522">
        <w:rPr>
          <w:rFonts w:cstheme="minorHAnsi"/>
        </w:rPr>
        <w:t>Минимальный прогнозный объем выручки Частного партнера за оказанные в соответствии с Соглашением Основные медицинские услуги Основные медицинские услуги</w:t>
      </w:r>
      <w:r w:rsidRPr="00197522">
        <w:rPr>
          <w:rFonts w:cstheme="minorHAnsi"/>
        </w:rPr>
        <w:t xml:space="preserve"> за каждый календарный год Эксплуатации</w:t>
      </w:r>
      <w:r>
        <w:rPr>
          <w:rFonts w:cstheme="minorHAnsi"/>
        </w:rPr>
        <w:t xml:space="preserve">», прилагаемой к настоящему Приложению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>15.</w:t>
      </w:r>
      <w:r w:rsidRPr="00D53B35">
        <w:rPr>
          <w:rFonts w:cstheme="minorHAnsi"/>
        </w:rPr>
        <w:t xml:space="preserve"> В случае каких-либо противоречий между </w:t>
      </w:r>
      <w:r>
        <w:rPr>
          <w:rFonts w:cstheme="minorHAnsi"/>
        </w:rPr>
        <w:t xml:space="preserve">разделом </w:t>
      </w:r>
      <w:r w:rsidRPr="00FA28EC">
        <w:t>I</w:t>
      </w:r>
      <w:r w:rsidR="00197522" w:rsidRPr="00FA28EC">
        <w:t>I</w:t>
      </w:r>
      <w:r w:rsidR="004022ED">
        <w:rPr>
          <w:lang w:val="en-US"/>
        </w:rPr>
        <w:t>I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 xml:space="preserve">Приложения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 xml:space="preserve">15 </w:t>
      </w:r>
      <w:r w:rsidRPr="00D53B35">
        <w:rPr>
          <w:rFonts w:cstheme="minorHAnsi"/>
        </w:rPr>
        <w:t xml:space="preserve">и </w:t>
      </w:r>
      <w:r>
        <w:rPr>
          <w:rFonts w:cstheme="minorHAnsi"/>
        </w:rPr>
        <w:t>Таблицей</w:t>
      </w:r>
      <w:r w:rsidRPr="00D53B35">
        <w:rPr>
          <w:rFonts w:cstheme="minorHAnsi"/>
        </w:rPr>
        <w:t xml:space="preserve"> </w:t>
      </w:r>
      <w:r w:rsidR="00954968">
        <w:rPr>
          <w:rFonts w:cstheme="minorHAnsi"/>
        </w:rPr>
        <w:t>3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>преимущество имеют</w:t>
      </w:r>
      <w:r w:rsidRPr="00D53B35">
        <w:rPr>
          <w:rFonts w:cstheme="minorHAnsi"/>
        </w:rPr>
        <w:t xml:space="preserve"> </w:t>
      </w:r>
      <w:r>
        <w:rPr>
          <w:rFonts w:cstheme="minorHAnsi"/>
        </w:rPr>
        <w:t xml:space="preserve">положения раздела </w:t>
      </w:r>
      <w:r w:rsidRPr="00FA28EC">
        <w:t>I</w:t>
      </w:r>
      <w:r w:rsidR="00197522" w:rsidRPr="00FA28EC">
        <w:t>I</w:t>
      </w:r>
      <w:r w:rsidR="004022ED">
        <w:rPr>
          <w:lang w:val="en-US"/>
        </w:rPr>
        <w:t>I</w:t>
      </w:r>
      <w:r>
        <w:rPr>
          <w:rFonts w:cstheme="minorHAnsi"/>
        </w:rPr>
        <w:t xml:space="preserve"> Приложения</w:t>
      </w:r>
      <w:r w:rsidR="00D867BB">
        <w:rPr>
          <w:rFonts w:cstheme="minorHAnsi"/>
        </w:rPr>
        <w:t xml:space="preserve"> №</w:t>
      </w:r>
      <w:r>
        <w:rPr>
          <w:rFonts w:cstheme="minorHAnsi"/>
        </w:rPr>
        <w:t xml:space="preserve"> 15</w:t>
      </w:r>
      <w:r w:rsidRPr="00D53B35">
        <w:rPr>
          <w:rFonts w:cstheme="minorHAnsi"/>
        </w:rPr>
        <w:t>.</w:t>
      </w:r>
    </w:p>
    <w:p w14:paraId="7B36FA81" w14:textId="39EB0BDF" w:rsidR="00165EBF" w:rsidRPr="00AB3FCC" w:rsidRDefault="00165EBF" w:rsidP="00AB3FCC">
      <w:pPr>
        <w:pStyle w:val="ListParagraph"/>
        <w:numPr>
          <w:ilvl w:val="0"/>
          <w:numId w:val="15"/>
        </w:numPr>
        <w:spacing w:after="240" w:line="259" w:lineRule="auto"/>
        <w:ind w:left="567" w:hanging="56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Обязанности Сторон </w:t>
      </w:r>
      <w:r w:rsidR="008525C5">
        <w:rPr>
          <w:rFonts w:cstheme="minorHAnsi"/>
          <w:b/>
          <w:bCs/>
        </w:rPr>
        <w:t>в рамках обеспечения</w:t>
      </w:r>
      <w:r>
        <w:rPr>
          <w:rFonts w:cstheme="minorHAnsi"/>
          <w:b/>
          <w:bCs/>
        </w:rPr>
        <w:t xml:space="preserve"> Гарантий публичного партнера </w:t>
      </w:r>
    </w:p>
    <w:p w14:paraId="6AEBDA72" w14:textId="765C1FA5" w:rsidR="00D85614" w:rsidRPr="00D85614" w:rsidRDefault="00464B85" w:rsidP="00FA28EC">
      <w:pPr>
        <w:pStyle w:val="ListParagraph"/>
        <w:numPr>
          <w:ilvl w:val="3"/>
          <w:numId w:val="11"/>
        </w:numPr>
        <w:spacing w:after="240"/>
        <w:ind w:left="567" w:hanging="567"/>
        <w:contextualSpacing w:val="0"/>
        <w:jc w:val="both"/>
        <w:rPr>
          <w:rFonts w:cstheme="minorHAnsi"/>
          <w:b/>
          <w:bCs/>
        </w:rPr>
      </w:pPr>
      <w:r w:rsidRPr="00D53B35">
        <w:rPr>
          <w:rFonts w:cstheme="minorHAnsi"/>
        </w:rPr>
        <w:t xml:space="preserve">В </w:t>
      </w:r>
      <w:r>
        <w:rPr>
          <w:rFonts w:cstheme="minorHAnsi"/>
        </w:rPr>
        <w:t>целях</w:t>
      </w:r>
      <w:r w:rsidRPr="00FA28EC">
        <w:t xml:space="preserve"> достижения </w:t>
      </w:r>
      <w:r w:rsidR="00AB3FCC" w:rsidRPr="00FA28EC">
        <w:t xml:space="preserve">Прогнозных показателей основных медицинских услуг и Прогнозных показателей выручки Частного партнера </w:t>
      </w:r>
      <w:r>
        <w:rPr>
          <w:rFonts w:cstheme="minorHAnsi"/>
        </w:rPr>
        <w:t xml:space="preserve">Публичный партнер принимает на себя обязательства по </w:t>
      </w:r>
      <w:r w:rsidR="00AB3FCC" w:rsidRPr="00AB3FCC">
        <w:rPr>
          <w:rFonts w:cstheme="minorHAnsi"/>
        </w:rPr>
        <w:t xml:space="preserve">обеспечению осуществления необходимых и возможных в соответствии с Действующим законодательством </w:t>
      </w:r>
      <w:r w:rsidR="00AB3FCC">
        <w:rPr>
          <w:rFonts w:cstheme="minorHAnsi"/>
        </w:rPr>
        <w:t xml:space="preserve">и Соглашением </w:t>
      </w:r>
      <w:r w:rsidR="00AB3FCC" w:rsidRPr="00AB3FCC">
        <w:rPr>
          <w:rFonts w:cstheme="minorHAnsi"/>
        </w:rPr>
        <w:t>действий, в том числе посредством  издания всех необходимых правовых актов и принятия всех необходимых решений, а также совершения иных необходимых действий в рамках полномочий Публичного партнера, включая Содействие</w:t>
      </w:r>
      <w:r w:rsidR="00AB3FCC">
        <w:rPr>
          <w:rFonts w:cstheme="minorHAnsi"/>
        </w:rPr>
        <w:t xml:space="preserve">, </w:t>
      </w:r>
      <w:r>
        <w:rPr>
          <w:rFonts w:cstheme="minorHAnsi"/>
        </w:rPr>
        <w:t xml:space="preserve">с тем, чтобы </w:t>
      </w:r>
      <w:r w:rsidR="00635DBE">
        <w:rPr>
          <w:rFonts w:cstheme="minorHAnsi"/>
        </w:rPr>
        <w:t xml:space="preserve">в каждый Рабочий день на протяжении Срока эксплуатации </w:t>
      </w:r>
      <w:r>
        <w:rPr>
          <w:rFonts w:cstheme="minorHAnsi"/>
        </w:rPr>
        <w:t>на Объекте соглашения был</w:t>
      </w:r>
      <w:r w:rsidR="00635DBE">
        <w:rPr>
          <w:rFonts w:cstheme="minorHAnsi"/>
        </w:rPr>
        <w:t xml:space="preserve">о осуществлено не менее 12 (двенадцати) госпитализаций по КСГ, установленным в разделе </w:t>
      </w:r>
      <w:r w:rsidR="00635DBE">
        <w:rPr>
          <w:rFonts w:cstheme="minorHAnsi"/>
          <w:lang w:val="en-US"/>
        </w:rPr>
        <w:t>I</w:t>
      </w:r>
      <w:r w:rsidR="004C758A">
        <w:rPr>
          <w:rFonts w:cstheme="minorHAnsi"/>
          <w:lang w:val="en-US"/>
        </w:rPr>
        <w:t>I</w:t>
      </w:r>
      <w:r w:rsidR="00635DBE" w:rsidRPr="00635DBE">
        <w:rPr>
          <w:rFonts w:cstheme="minorHAnsi"/>
        </w:rPr>
        <w:t xml:space="preserve"> </w:t>
      </w:r>
      <w:r w:rsidR="00635DBE">
        <w:rPr>
          <w:rFonts w:cstheme="minorHAnsi"/>
        </w:rPr>
        <w:t>настоящего Приложения 15,</w:t>
      </w:r>
      <w:r>
        <w:rPr>
          <w:rFonts w:cstheme="minorHAnsi"/>
        </w:rPr>
        <w:t xml:space="preserve"> </w:t>
      </w:r>
      <w:r w:rsidR="00241B19">
        <w:rPr>
          <w:rFonts w:cstheme="minorHAnsi"/>
        </w:rPr>
        <w:t>и чтобы</w:t>
      </w:r>
      <w:r w:rsidR="00D85614">
        <w:rPr>
          <w:rFonts w:cstheme="minorHAnsi"/>
        </w:rPr>
        <w:t xml:space="preserve"> были </w:t>
      </w:r>
      <w:r>
        <w:rPr>
          <w:rFonts w:cstheme="minorHAnsi"/>
        </w:rPr>
        <w:t xml:space="preserve">достигнуты </w:t>
      </w:r>
      <w:r w:rsidR="00D85614">
        <w:rPr>
          <w:rFonts w:cstheme="minorHAnsi"/>
        </w:rPr>
        <w:t xml:space="preserve">Прогнозный объем основных медицинских услуг, предусмотренный </w:t>
      </w:r>
      <w:r w:rsidR="00D85614">
        <w:rPr>
          <w:rFonts w:cstheme="minorHAnsi"/>
        </w:rPr>
        <w:lastRenderedPageBreak/>
        <w:t xml:space="preserve">разделом </w:t>
      </w:r>
      <w:r w:rsidR="00D85614">
        <w:rPr>
          <w:rFonts w:cstheme="minorHAnsi"/>
          <w:lang w:val="en-US"/>
        </w:rPr>
        <w:t>I</w:t>
      </w:r>
      <w:r w:rsidR="004C758A">
        <w:rPr>
          <w:rFonts w:cstheme="minorHAnsi"/>
          <w:lang w:val="en-US"/>
        </w:rPr>
        <w:t>I</w:t>
      </w:r>
      <w:r w:rsidR="00D85614" w:rsidRPr="00D85614">
        <w:rPr>
          <w:rFonts w:cstheme="minorHAnsi"/>
        </w:rPr>
        <w:t xml:space="preserve"> </w:t>
      </w:r>
      <w:r w:rsidR="00D85614">
        <w:rPr>
          <w:rFonts w:cstheme="minorHAnsi"/>
        </w:rPr>
        <w:t xml:space="preserve">настоящего Приложения </w:t>
      </w:r>
      <w:r w:rsidR="00D867BB">
        <w:rPr>
          <w:rFonts w:cstheme="minorHAnsi"/>
        </w:rPr>
        <w:t xml:space="preserve">№ </w:t>
      </w:r>
      <w:r w:rsidR="00D85614">
        <w:rPr>
          <w:rFonts w:cstheme="minorHAnsi"/>
        </w:rPr>
        <w:t xml:space="preserve">15, и Прогнозные показатели выручки Частного партнера, предусмотренные разделом </w:t>
      </w:r>
      <w:r w:rsidR="00D85614">
        <w:rPr>
          <w:rFonts w:cstheme="minorHAnsi"/>
          <w:lang w:val="en-US"/>
        </w:rPr>
        <w:t>II</w:t>
      </w:r>
      <w:r w:rsidR="004C758A">
        <w:rPr>
          <w:rFonts w:cstheme="minorHAnsi"/>
          <w:lang w:val="en-US"/>
        </w:rPr>
        <w:t>I</w:t>
      </w:r>
      <w:r w:rsidR="00D85614" w:rsidRPr="00D85614">
        <w:rPr>
          <w:rFonts w:cstheme="minorHAnsi"/>
        </w:rPr>
        <w:t xml:space="preserve"> </w:t>
      </w:r>
      <w:r w:rsidR="00D85614">
        <w:rPr>
          <w:rFonts w:cstheme="minorHAnsi"/>
        </w:rPr>
        <w:t xml:space="preserve">настоящего Приложения </w:t>
      </w:r>
      <w:r w:rsidR="00D867BB">
        <w:rPr>
          <w:rFonts w:cstheme="minorHAnsi"/>
        </w:rPr>
        <w:t xml:space="preserve">№ </w:t>
      </w:r>
      <w:r w:rsidR="00D85614">
        <w:rPr>
          <w:rFonts w:cstheme="minorHAnsi"/>
        </w:rPr>
        <w:t>15</w:t>
      </w:r>
      <w:r w:rsidR="0016636A" w:rsidRPr="00FA28EC">
        <w:rPr>
          <w:rFonts w:cstheme="minorHAnsi"/>
        </w:rPr>
        <w:t xml:space="preserve">, </w:t>
      </w:r>
      <w:r w:rsidR="0016636A">
        <w:rPr>
          <w:rFonts w:cstheme="minorHAnsi"/>
        </w:rPr>
        <w:t xml:space="preserve">и чтобы были выполнены предусмотренные разделом </w:t>
      </w:r>
      <w:r w:rsidR="0016636A">
        <w:rPr>
          <w:rFonts w:cstheme="minorHAnsi"/>
          <w:lang w:val="en-US"/>
        </w:rPr>
        <w:t>III</w:t>
      </w:r>
      <w:r w:rsidR="0016636A" w:rsidRPr="00FA28EC">
        <w:rPr>
          <w:rFonts w:cstheme="minorHAnsi"/>
        </w:rPr>
        <w:t xml:space="preserve"> </w:t>
      </w:r>
      <w:r w:rsidR="0016636A">
        <w:rPr>
          <w:rFonts w:cstheme="minorHAnsi"/>
        </w:rPr>
        <w:t xml:space="preserve">настоящего Приложения </w:t>
      </w:r>
      <w:r w:rsidR="00D867BB">
        <w:rPr>
          <w:rFonts w:cstheme="minorHAnsi"/>
        </w:rPr>
        <w:t xml:space="preserve">№ </w:t>
      </w:r>
      <w:r w:rsidR="0016636A">
        <w:rPr>
          <w:rFonts w:cstheme="minorHAnsi"/>
        </w:rPr>
        <w:t>15 Гарантии по тарифам</w:t>
      </w:r>
      <w:r w:rsidR="004C799E">
        <w:rPr>
          <w:rFonts w:cstheme="minorHAnsi"/>
        </w:rPr>
        <w:t xml:space="preserve"> (включая гарантии, предусмотренные пунктами 1 – 9 Приложения </w:t>
      </w:r>
      <w:r w:rsidR="00D867BB">
        <w:rPr>
          <w:rFonts w:cstheme="minorHAnsi"/>
        </w:rPr>
        <w:t xml:space="preserve">№ </w:t>
      </w:r>
      <w:r w:rsidR="004C799E">
        <w:rPr>
          <w:rFonts w:cstheme="minorHAnsi"/>
        </w:rPr>
        <w:t>15)</w:t>
      </w:r>
      <w:r w:rsidR="00D85614">
        <w:rPr>
          <w:rFonts w:cstheme="minorHAnsi"/>
        </w:rPr>
        <w:t>.</w:t>
      </w:r>
    </w:p>
    <w:p w14:paraId="5EAB8A3D" w14:textId="3C104167" w:rsidR="00884ACB" w:rsidRPr="00884ACB" w:rsidRDefault="00884ACB" w:rsidP="00FA28EC">
      <w:pPr>
        <w:pStyle w:val="ListParagraph"/>
        <w:numPr>
          <w:ilvl w:val="3"/>
          <w:numId w:val="11"/>
        </w:numPr>
        <w:spacing w:after="240"/>
        <w:ind w:left="567" w:hanging="56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С учетом </w:t>
      </w:r>
      <w:r w:rsidR="00AB3FCC">
        <w:rPr>
          <w:rFonts w:cstheme="minorHAnsi"/>
        </w:rPr>
        <w:t>Гарантий публичного партнера</w:t>
      </w:r>
      <w:r>
        <w:rPr>
          <w:rFonts w:cstheme="minorHAnsi"/>
        </w:rPr>
        <w:t xml:space="preserve">, </w:t>
      </w:r>
      <w:r w:rsidRPr="0010714E">
        <w:rPr>
          <w:rFonts w:cstheme="minorHAnsi"/>
        </w:rPr>
        <w:t xml:space="preserve">Частный партнер обязан в </w:t>
      </w:r>
      <w:r>
        <w:rPr>
          <w:rFonts w:cstheme="minorHAnsi"/>
        </w:rPr>
        <w:t>кажд</w:t>
      </w:r>
      <w:r w:rsidRPr="0010714E">
        <w:rPr>
          <w:rFonts w:cstheme="minorHAnsi"/>
        </w:rPr>
        <w:t xml:space="preserve">ый </w:t>
      </w:r>
      <w:r>
        <w:rPr>
          <w:rFonts w:cstheme="minorHAnsi"/>
        </w:rPr>
        <w:t xml:space="preserve">Рабочий день на протяжении Стадии эксплуатации </w:t>
      </w:r>
      <w:r w:rsidRPr="0010714E">
        <w:rPr>
          <w:rFonts w:cstheme="minorHAnsi"/>
        </w:rPr>
        <w:t xml:space="preserve">обеспечить готовность </w:t>
      </w:r>
      <w:r>
        <w:rPr>
          <w:rFonts w:cstheme="minorHAnsi"/>
        </w:rPr>
        <w:t xml:space="preserve">к госпитализации по </w:t>
      </w:r>
      <w:r w:rsidRPr="0010714E">
        <w:rPr>
          <w:rFonts w:cstheme="minorHAnsi"/>
        </w:rPr>
        <w:t>Территориальной программе ОМС Республики Татарстан в условиях круглосуточного стационара</w:t>
      </w:r>
      <w:r>
        <w:rPr>
          <w:rFonts w:cstheme="minorHAnsi"/>
        </w:rPr>
        <w:t xml:space="preserve"> по КСГ, предусмотренным в разделе </w:t>
      </w:r>
      <w:r>
        <w:rPr>
          <w:rFonts w:cstheme="minorHAnsi"/>
          <w:lang w:val="en-US"/>
        </w:rPr>
        <w:t>I</w:t>
      </w:r>
      <w:r w:rsidR="00BA1CB4">
        <w:rPr>
          <w:rFonts w:cstheme="minorHAnsi"/>
          <w:lang w:val="en-US"/>
        </w:rPr>
        <w:t>I</w:t>
      </w:r>
      <w:r w:rsidRPr="00D9018B">
        <w:rPr>
          <w:rFonts w:cstheme="minorHAnsi"/>
        </w:rPr>
        <w:t xml:space="preserve"> </w:t>
      </w:r>
      <w:r>
        <w:rPr>
          <w:rFonts w:cstheme="minorHAnsi"/>
        </w:rPr>
        <w:t xml:space="preserve">настоящего Приложения </w:t>
      </w:r>
      <w:r w:rsidR="00D867BB">
        <w:rPr>
          <w:rFonts w:cstheme="minorHAnsi"/>
        </w:rPr>
        <w:t xml:space="preserve">№ </w:t>
      </w:r>
      <w:r>
        <w:rPr>
          <w:rFonts w:cstheme="minorHAnsi"/>
        </w:rPr>
        <w:t>15,</w:t>
      </w:r>
      <w:r w:rsidRPr="00353B95">
        <w:rPr>
          <w:rFonts w:cstheme="minorHAnsi"/>
        </w:rPr>
        <w:t xml:space="preserve"> </w:t>
      </w:r>
      <w:r>
        <w:rPr>
          <w:rFonts w:cstheme="minorHAnsi"/>
        </w:rPr>
        <w:t>не менее 20 (двадцати) пациентов.</w:t>
      </w:r>
      <w:r w:rsidR="00FD65DA">
        <w:rPr>
          <w:rFonts w:cstheme="minorHAnsi"/>
        </w:rPr>
        <w:t xml:space="preserve"> Частный партнер вправе, но не обязан осуществлять госпитализацию пациентов сверх установленного в настоящем пункте количества.</w:t>
      </w:r>
    </w:p>
    <w:p w14:paraId="56AEB0E5" w14:textId="5CD5F4E9" w:rsidR="00AB5B69" w:rsidRPr="00A56006" w:rsidRDefault="00AB5B69" w:rsidP="00FA28EC">
      <w:pPr>
        <w:pStyle w:val="ListParagraph"/>
        <w:numPr>
          <w:ilvl w:val="3"/>
          <w:numId w:val="11"/>
        </w:numPr>
        <w:spacing w:after="240"/>
        <w:ind w:left="567" w:hanging="567"/>
        <w:contextualSpacing w:val="0"/>
        <w:jc w:val="both"/>
        <w:rPr>
          <w:rFonts w:cstheme="minorHAnsi"/>
          <w:b/>
          <w:bCs/>
        </w:rPr>
      </w:pPr>
      <w:r w:rsidRPr="00A56006">
        <w:rPr>
          <w:rFonts w:cstheme="minorHAnsi"/>
        </w:rPr>
        <w:t xml:space="preserve">Если </w:t>
      </w:r>
      <w:r w:rsidR="00A56006">
        <w:rPr>
          <w:rFonts w:cstheme="minorHAnsi"/>
        </w:rPr>
        <w:t xml:space="preserve">до истечения какого-либо календарного года Эксплуатации </w:t>
      </w:r>
      <w:r w:rsidR="00DE2B06">
        <w:rPr>
          <w:rFonts w:cstheme="minorHAnsi"/>
        </w:rPr>
        <w:t xml:space="preserve">количество случаев госпитализации по какой-либо КСГ, предусмотренной настоящим Приложением </w:t>
      </w:r>
      <w:r w:rsidR="00D867BB">
        <w:rPr>
          <w:rFonts w:cstheme="minorHAnsi"/>
        </w:rPr>
        <w:t xml:space="preserve">№ </w:t>
      </w:r>
      <w:r w:rsidR="00DE2B06">
        <w:rPr>
          <w:rFonts w:cstheme="minorHAnsi"/>
        </w:rPr>
        <w:t xml:space="preserve">15, достигнет количества, предусмотренного в пункте </w:t>
      </w:r>
      <w:r w:rsidR="00DE2B06" w:rsidRPr="00DE2B06">
        <w:rPr>
          <w:rFonts w:cstheme="minorHAnsi"/>
        </w:rPr>
        <w:t xml:space="preserve">1 </w:t>
      </w:r>
      <w:r w:rsidR="00DE2B06">
        <w:rPr>
          <w:rFonts w:cstheme="minorHAnsi"/>
        </w:rPr>
        <w:t xml:space="preserve">раздела </w:t>
      </w:r>
      <w:r w:rsidR="00DE2B06">
        <w:rPr>
          <w:rFonts w:cstheme="minorHAnsi"/>
          <w:lang w:val="en-US"/>
        </w:rPr>
        <w:t>I</w:t>
      </w:r>
      <w:r w:rsidR="00BA1CB4">
        <w:rPr>
          <w:rFonts w:cstheme="minorHAnsi"/>
          <w:lang w:val="en-US"/>
        </w:rPr>
        <w:t>I</w:t>
      </w:r>
      <w:r w:rsidR="00DE2B06" w:rsidRPr="00DE2B06">
        <w:rPr>
          <w:rFonts w:cstheme="minorHAnsi"/>
        </w:rPr>
        <w:t xml:space="preserve"> </w:t>
      </w:r>
      <w:r w:rsidR="00DE2B06">
        <w:rPr>
          <w:rFonts w:cstheme="minorHAnsi"/>
        </w:rPr>
        <w:t>настоящего Приложения</w:t>
      </w:r>
      <w:r w:rsidR="00D867BB">
        <w:rPr>
          <w:rFonts w:cstheme="minorHAnsi"/>
        </w:rPr>
        <w:t xml:space="preserve"> №</w:t>
      </w:r>
      <w:r w:rsidR="00DE2B06">
        <w:rPr>
          <w:rFonts w:cstheme="minorHAnsi"/>
        </w:rPr>
        <w:t xml:space="preserve"> 15 для такой КСГ, то </w:t>
      </w:r>
      <w:r w:rsidR="002D413F">
        <w:rPr>
          <w:rFonts w:cstheme="minorHAnsi"/>
        </w:rPr>
        <w:t xml:space="preserve">до конца соответствующего календарного года </w:t>
      </w:r>
      <w:r w:rsidR="00DE2B06">
        <w:rPr>
          <w:rFonts w:cstheme="minorHAnsi"/>
        </w:rPr>
        <w:t>Частный партнер вправе, но не обязан осуществлять гос</w:t>
      </w:r>
      <w:r w:rsidR="002D413F">
        <w:rPr>
          <w:rFonts w:cstheme="minorHAnsi"/>
        </w:rPr>
        <w:t>питализацию пациентов по соответствующей КСГ.</w:t>
      </w:r>
      <w:r w:rsidRPr="00A56006">
        <w:rPr>
          <w:rFonts w:cstheme="minorHAnsi"/>
        </w:rPr>
        <w:t xml:space="preserve"> направлен пациент, которому требуется оказание Основных медицинских услуг сверх установленного для соответствующего дня Эксплуатации минимального объема Основных медицинских услуг по соответствующему отделению и баллу по ШРМ, Частный партнер (Оператор Эксплуатации) вправе, но не обязан оказать соответствующие услуги.</w:t>
      </w:r>
    </w:p>
    <w:p w14:paraId="68D7CB67" w14:textId="564BADCB" w:rsidR="003832BB" w:rsidRPr="00543A52" w:rsidRDefault="00543A52" w:rsidP="00FA28EC">
      <w:pPr>
        <w:pStyle w:val="ListParagraph"/>
        <w:numPr>
          <w:ilvl w:val="0"/>
          <w:numId w:val="15"/>
        </w:numPr>
        <w:spacing w:after="240" w:line="259" w:lineRule="auto"/>
        <w:ind w:left="567" w:hanging="56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Контроль </w:t>
      </w:r>
      <w:r w:rsidR="00AB3FCC">
        <w:rPr>
          <w:rFonts w:cstheme="minorHAnsi"/>
          <w:b/>
          <w:bCs/>
        </w:rPr>
        <w:t xml:space="preserve">(мониторинг и сверка) </w:t>
      </w:r>
      <w:r>
        <w:rPr>
          <w:rFonts w:cstheme="minorHAnsi"/>
          <w:b/>
          <w:bCs/>
        </w:rPr>
        <w:t xml:space="preserve">Прогнозных показателей основных медицинских услуг и Прогнозных показателей выручки Частного партнера </w:t>
      </w:r>
    </w:p>
    <w:p w14:paraId="73CCFD25" w14:textId="4BD74835" w:rsidR="00E56A0F" w:rsidRPr="00E56A0F" w:rsidRDefault="00E56A0F" w:rsidP="00FA28EC">
      <w:pPr>
        <w:pStyle w:val="ListParagraph"/>
        <w:numPr>
          <w:ilvl w:val="3"/>
          <w:numId w:val="17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  <w:b/>
          <w:bCs/>
          <w:caps/>
          <w:lang w:eastAsia="ru-RU"/>
        </w:rPr>
      </w:pPr>
      <w:r>
        <w:rPr>
          <w:rFonts w:cstheme="minorHAnsi"/>
        </w:rPr>
        <w:t>Не позднее, чем в течение одного месяца после окончания каждого календарного квартала в течение срока эксплуатации Частный партнер направляет Публичному партнеру отчет, в котором должны быть отражены:</w:t>
      </w:r>
    </w:p>
    <w:p w14:paraId="0FEA85E6" w14:textId="3F484ADA" w:rsidR="00907154" w:rsidRPr="00907154" w:rsidRDefault="00907154" w:rsidP="00FA28EC">
      <w:pPr>
        <w:pStyle w:val="ListParagraph"/>
        <w:numPr>
          <w:ilvl w:val="1"/>
          <w:numId w:val="23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  <w:b/>
          <w:bCs/>
          <w:caps/>
          <w:lang w:eastAsia="ru-RU"/>
        </w:rPr>
      </w:pPr>
      <w:r>
        <w:rPr>
          <w:rFonts w:cstheme="minorHAnsi"/>
        </w:rPr>
        <w:t>ф</w:t>
      </w:r>
      <w:r w:rsidR="00E56A0F">
        <w:rPr>
          <w:rFonts w:cstheme="minorHAnsi"/>
        </w:rPr>
        <w:t xml:space="preserve">актическое количество </w:t>
      </w:r>
      <w:r>
        <w:rPr>
          <w:rFonts w:cstheme="minorHAnsi"/>
        </w:rPr>
        <w:t xml:space="preserve">обращений за госпитализацией по каждой </w:t>
      </w:r>
      <w:r w:rsidR="00FE0539">
        <w:rPr>
          <w:rFonts w:cstheme="minorHAnsi"/>
        </w:rPr>
        <w:t>КСГ,</w:t>
      </w:r>
      <w:r>
        <w:rPr>
          <w:rFonts w:cstheme="minorHAnsi"/>
        </w:rPr>
        <w:t xml:space="preserve"> указанн</w:t>
      </w:r>
      <w:r w:rsidR="00FE0539">
        <w:rPr>
          <w:rFonts w:cstheme="minorHAnsi"/>
        </w:rPr>
        <w:t>ой</w:t>
      </w:r>
      <w:r>
        <w:rPr>
          <w:rFonts w:cstheme="minorHAnsi"/>
        </w:rPr>
        <w:t xml:space="preserve"> в </w:t>
      </w:r>
      <w:r w:rsidR="00787D1B">
        <w:rPr>
          <w:rFonts w:cstheme="minorHAnsi"/>
        </w:rPr>
        <w:t xml:space="preserve">настоящем </w:t>
      </w:r>
      <w:r>
        <w:rPr>
          <w:rFonts w:cstheme="minorHAnsi"/>
        </w:rPr>
        <w:t>Приложении</w:t>
      </w:r>
      <w:r w:rsidR="00787D1B">
        <w:rPr>
          <w:rFonts w:cstheme="minorHAnsi"/>
        </w:rPr>
        <w:t xml:space="preserve"> 15</w:t>
      </w:r>
      <w:r w:rsidR="00FE0539">
        <w:rPr>
          <w:rFonts w:cstheme="minorHAnsi"/>
        </w:rPr>
        <w:t xml:space="preserve">, за </w:t>
      </w:r>
      <w:r w:rsidR="00843E6A">
        <w:rPr>
          <w:rFonts w:cstheme="minorHAnsi"/>
        </w:rPr>
        <w:t xml:space="preserve">каждый Рабочий день </w:t>
      </w:r>
      <w:r w:rsidR="00FE0539">
        <w:rPr>
          <w:rFonts w:cstheme="minorHAnsi"/>
        </w:rPr>
        <w:t>отчетн</w:t>
      </w:r>
      <w:r w:rsidR="00843E6A">
        <w:rPr>
          <w:rFonts w:cstheme="minorHAnsi"/>
        </w:rPr>
        <w:t>ого</w:t>
      </w:r>
      <w:r w:rsidR="00FE0539">
        <w:rPr>
          <w:rFonts w:cstheme="minorHAnsi"/>
        </w:rPr>
        <w:t xml:space="preserve"> квартал</w:t>
      </w:r>
      <w:r w:rsidR="00843E6A">
        <w:rPr>
          <w:rFonts w:cstheme="minorHAnsi"/>
        </w:rPr>
        <w:t>а</w:t>
      </w:r>
      <w:r>
        <w:rPr>
          <w:rFonts w:cstheme="minorHAnsi"/>
        </w:rPr>
        <w:t>;</w:t>
      </w:r>
    </w:p>
    <w:p w14:paraId="2DABB3E9" w14:textId="0097177F" w:rsidR="00E56A0F" w:rsidRPr="00FE0539" w:rsidRDefault="00907154" w:rsidP="00FA28EC">
      <w:pPr>
        <w:pStyle w:val="ListParagraph"/>
        <w:numPr>
          <w:ilvl w:val="1"/>
          <w:numId w:val="23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  <w:b/>
          <w:bCs/>
          <w:caps/>
          <w:lang w:eastAsia="ru-RU"/>
        </w:rPr>
      </w:pPr>
      <w:r>
        <w:rPr>
          <w:rFonts w:cstheme="minorHAnsi"/>
        </w:rPr>
        <w:t xml:space="preserve">фактическое количество </w:t>
      </w:r>
      <w:r w:rsidR="00E56A0F">
        <w:rPr>
          <w:rFonts w:cstheme="minorHAnsi"/>
        </w:rPr>
        <w:t xml:space="preserve">случаев госпитализации по каждой </w:t>
      </w:r>
      <w:r w:rsidR="00FE0539">
        <w:rPr>
          <w:rFonts w:cstheme="minorHAnsi"/>
        </w:rPr>
        <w:t>КСГ,</w:t>
      </w:r>
      <w:r w:rsidR="00E56A0F">
        <w:rPr>
          <w:rFonts w:cstheme="minorHAnsi"/>
        </w:rPr>
        <w:t xml:space="preserve"> указанн</w:t>
      </w:r>
      <w:r w:rsidR="00FE0539">
        <w:rPr>
          <w:rFonts w:cstheme="minorHAnsi"/>
        </w:rPr>
        <w:t>ой</w:t>
      </w:r>
      <w:r w:rsidR="00E56A0F">
        <w:rPr>
          <w:rFonts w:cstheme="minorHAnsi"/>
        </w:rPr>
        <w:t xml:space="preserve"> в </w:t>
      </w:r>
      <w:r w:rsidR="00787D1B">
        <w:rPr>
          <w:rFonts w:cstheme="minorHAnsi"/>
        </w:rPr>
        <w:t xml:space="preserve">настоящем </w:t>
      </w:r>
      <w:r w:rsidR="00E56A0F">
        <w:rPr>
          <w:rFonts w:cstheme="minorHAnsi"/>
        </w:rPr>
        <w:t>Приложении</w:t>
      </w:r>
      <w:r w:rsidR="00787D1B">
        <w:rPr>
          <w:rFonts w:cstheme="minorHAnsi"/>
        </w:rPr>
        <w:t xml:space="preserve"> 15</w:t>
      </w:r>
      <w:r w:rsidR="00FE0539">
        <w:rPr>
          <w:rFonts w:cstheme="minorHAnsi"/>
        </w:rPr>
        <w:t>, за отчетный квартал;</w:t>
      </w:r>
    </w:p>
    <w:p w14:paraId="3DB9FD30" w14:textId="3F6D2141" w:rsidR="00FE0539" w:rsidRPr="00E56A0F" w:rsidRDefault="00FE0539" w:rsidP="00FA28EC">
      <w:pPr>
        <w:pStyle w:val="ListParagraph"/>
        <w:numPr>
          <w:ilvl w:val="1"/>
          <w:numId w:val="23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  <w:b/>
          <w:bCs/>
          <w:caps/>
          <w:lang w:eastAsia="ru-RU"/>
        </w:rPr>
      </w:pPr>
      <w:r>
        <w:rPr>
          <w:rFonts w:cstheme="minorHAnsi"/>
        </w:rPr>
        <w:t xml:space="preserve">фактическое суммарное количество случаев госпитализации по КСГ, указанным в </w:t>
      </w:r>
      <w:r w:rsidR="00787D1B">
        <w:rPr>
          <w:rFonts w:cstheme="minorHAnsi"/>
        </w:rPr>
        <w:t xml:space="preserve">настоящем </w:t>
      </w:r>
      <w:r w:rsidR="00AB3FCC">
        <w:rPr>
          <w:rFonts w:cstheme="minorHAnsi"/>
        </w:rPr>
        <w:t>П</w:t>
      </w:r>
      <w:r>
        <w:rPr>
          <w:rFonts w:cstheme="minorHAnsi"/>
        </w:rPr>
        <w:t>риложении</w:t>
      </w:r>
      <w:r w:rsidR="00787D1B">
        <w:rPr>
          <w:rFonts w:cstheme="minorHAnsi"/>
        </w:rPr>
        <w:t xml:space="preserve"> 15</w:t>
      </w:r>
      <w:r>
        <w:rPr>
          <w:rFonts w:cstheme="minorHAnsi"/>
        </w:rPr>
        <w:t>, за каждый Рабочий день отчетного квартала.</w:t>
      </w:r>
    </w:p>
    <w:p w14:paraId="52811849" w14:textId="475EFF15" w:rsidR="00FE0539" w:rsidRPr="00FA28EC" w:rsidRDefault="00FE0539" w:rsidP="00FA28EC">
      <w:pPr>
        <w:pStyle w:val="ListParagraph"/>
        <w:numPr>
          <w:ilvl w:val="3"/>
          <w:numId w:val="17"/>
        </w:numPr>
        <w:tabs>
          <w:tab w:val="left" w:pos="567"/>
        </w:tabs>
        <w:spacing w:after="240"/>
        <w:ind w:left="567" w:hanging="567"/>
        <w:contextualSpacing w:val="0"/>
        <w:jc w:val="both"/>
      </w:pPr>
      <w:r>
        <w:rPr>
          <w:rFonts w:cstheme="minorHAnsi"/>
        </w:rPr>
        <w:t>Не позднее, чем в течение двух месяцев после окончания каждого календарного года в течение срока эксплуатации Частный партнер направляет Публичному партнеру отчет, в котором должны быть отражены:</w:t>
      </w:r>
    </w:p>
    <w:p w14:paraId="3D8D8787" w14:textId="3BE9AF8B" w:rsidR="00FE0539" w:rsidRPr="00843E6A" w:rsidRDefault="00FE0539" w:rsidP="00FA28EC">
      <w:pPr>
        <w:pStyle w:val="ListParagraph"/>
        <w:numPr>
          <w:ilvl w:val="1"/>
          <w:numId w:val="24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  <w:b/>
          <w:bCs/>
          <w:caps/>
          <w:lang w:eastAsia="ru-RU"/>
        </w:rPr>
      </w:pPr>
      <w:r w:rsidRPr="00843E6A">
        <w:rPr>
          <w:rFonts w:cstheme="minorHAnsi"/>
        </w:rPr>
        <w:t xml:space="preserve">фактическое количество обращений за госпитализацией по каждой КСГ, указанной в </w:t>
      </w:r>
      <w:r w:rsidR="00787D1B">
        <w:rPr>
          <w:rFonts w:cstheme="minorHAnsi"/>
        </w:rPr>
        <w:t xml:space="preserve">настоящем </w:t>
      </w:r>
      <w:r w:rsidRPr="00843E6A">
        <w:rPr>
          <w:rFonts w:cstheme="minorHAnsi"/>
        </w:rPr>
        <w:t>Приложении</w:t>
      </w:r>
      <w:r w:rsidR="00787D1B">
        <w:rPr>
          <w:rFonts w:cstheme="minorHAnsi"/>
        </w:rPr>
        <w:t xml:space="preserve"> 15</w:t>
      </w:r>
      <w:r w:rsidRPr="00843E6A">
        <w:rPr>
          <w:rFonts w:cstheme="minorHAnsi"/>
        </w:rPr>
        <w:t xml:space="preserve">, за </w:t>
      </w:r>
      <w:r w:rsidR="00843E6A" w:rsidRPr="00843E6A">
        <w:rPr>
          <w:rFonts w:cstheme="minorHAnsi"/>
        </w:rPr>
        <w:t>каждый Рабочий день отчетного</w:t>
      </w:r>
      <w:r w:rsidRPr="00843E6A">
        <w:rPr>
          <w:rFonts w:cstheme="minorHAnsi"/>
        </w:rPr>
        <w:t>;</w:t>
      </w:r>
    </w:p>
    <w:p w14:paraId="6ACC5D90" w14:textId="0F003C18" w:rsidR="00FE0539" w:rsidRPr="00843E6A" w:rsidRDefault="00FE0539" w:rsidP="00FA28EC">
      <w:pPr>
        <w:pStyle w:val="ListParagraph"/>
        <w:numPr>
          <w:ilvl w:val="1"/>
          <w:numId w:val="24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  <w:b/>
          <w:bCs/>
          <w:caps/>
          <w:lang w:eastAsia="ru-RU"/>
        </w:rPr>
      </w:pPr>
      <w:r>
        <w:rPr>
          <w:rFonts w:cstheme="minorHAnsi"/>
        </w:rPr>
        <w:t>фактическое суммарное количество случаев госпитализации</w:t>
      </w:r>
      <w:r w:rsidR="00AB3FCC">
        <w:rPr>
          <w:rFonts w:cstheme="minorHAnsi"/>
        </w:rPr>
        <w:t xml:space="preserve"> по КСГ, указанным в </w:t>
      </w:r>
      <w:r w:rsidR="00787D1B">
        <w:rPr>
          <w:rFonts w:cstheme="minorHAnsi"/>
        </w:rPr>
        <w:t xml:space="preserve">настоящем </w:t>
      </w:r>
      <w:r w:rsidR="00AB3FCC">
        <w:rPr>
          <w:rFonts w:cstheme="minorHAnsi"/>
        </w:rPr>
        <w:t>Приложении</w:t>
      </w:r>
      <w:r w:rsidR="00787D1B">
        <w:rPr>
          <w:rFonts w:cstheme="minorHAnsi"/>
        </w:rPr>
        <w:t xml:space="preserve"> 15</w:t>
      </w:r>
      <w:r>
        <w:rPr>
          <w:rFonts w:cstheme="minorHAnsi"/>
        </w:rPr>
        <w:t xml:space="preserve">, за отчетный </w:t>
      </w:r>
      <w:r w:rsidR="00843E6A">
        <w:rPr>
          <w:rFonts w:cstheme="minorHAnsi"/>
        </w:rPr>
        <w:t>год</w:t>
      </w:r>
      <w:r>
        <w:rPr>
          <w:rFonts w:cstheme="minorHAnsi"/>
        </w:rPr>
        <w:t>;</w:t>
      </w:r>
    </w:p>
    <w:p w14:paraId="0D217EF3" w14:textId="132D630E" w:rsidR="00AB3FCC" w:rsidRPr="00AB3FCC" w:rsidRDefault="00843E6A" w:rsidP="00FA28EC">
      <w:pPr>
        <w:pStyle w:val="ListParagraph"/>
        <w:numPr>
          <w:ilvl w:val="1"/>
          <w:numId w:val="24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  <w:b/>
          <w:bCs/>
          <w:caps/>
          <w:lang w:eastAsia="ru-RU"/>
        </w:rPr>
      </w:pPr>
      <w:r>
        <w:rPr>
          <w:rFonts w:cstheme="minorHAnsi"/>
        </w:rPr>
        <w:lastRenderedPageBreak/>
        <w:t xml:space="preserve">фактическая стоимость оказанных Частным партнером Основных медицинских услуг по КСГ, указанным в </w:t>
      </w:r>
      <w:r w:rsidR="00787D1B">
        <w:rPr>
          <w:rFonts w:cstheme="minorHAnsi"/>
        </w:rPr>
        <w:t xml:space="preserve">настоящем </w:t>
      </w:r>
      <w:r w:rsidR="00AB3FCC">
        <w:rPr>
          <w:rFonts w:cstheme="minorHAnsi"/>
        </w:rPr>
        <w:t>Приложении</w:t>
      </w:r>
      <w:r w:rsidR="00787D1B">
        <w:rPr>
          <w:rFonts w:cstheme="minorHAnsi"/>
        </w:rPr>
        <w:t xml:space="preserve"> 15</w:t>
      </w:r>
      <w:r>
        <w:rPr>
          <w:rFonts w:cstheme="minorHAnsi"/>
        </w:rPr>
        <w:t>, за отчетный год.</w:t>
      </w:r>
      <w:r w:rsidR="00AB3FCC">
        <w:rPr>
          <w:rFonts w:cstheme="minorHAnsi"/>
        </w:rPr>
        <w:t xml:space="preserve"> </w:t>
      </w:r>
    </w:p>
    <w:p w14:paraId="70CE0959" w14:textId="52A22512" w:rsidR="00AB3FCC" w:rsidRDefault="00AB3FCC" w:rsidP="00AB3FCC">
      <w:pPr>
        <w:pStyle w:val="ListParagraph"/>
        <w:numPr>
          <w:ilvl w:val="3"/>
          <w:numId w:val="17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Частный партнер прикладывает к отчетам, указанным в </w:t>
      </w:r>
      <w:r w:rsidR="0083310A">
        <w:rPr>
          <w:rFonts w:cstheme="minorHAnsi"/>
        </w:rPr>
        <w:t>пунктах</w:t>
      </w:r>
      <w:r>
        <w:rPr>
          <w:rFonts w:cstheme="minorHAnsi"/>
        </w:rPr>
        <w:t xml:space="preserve"> 1 и 2 </w:t>
      </w:r>
      <w:r w:rsidR="0083310A">
        <w:rPr>
          <w:rFonts w:cstheme="minorHAnsi"/>
        </w:rPr>
        <w:t>раздела</w:t>
      </w:r>
      <w:r>
        <w:rPr>
          <w:rFonts w:cstheme="minorHAnsi"/>
        </w:rPr>
        <w:t xml:space="preserve"> </w:t>
      </w:r>
      <w:r>
        <w:rPr>
          <w:rFonts w:cstheme="minorHAnsi"/>
          <w:lang w:val="en-US"/>
        </w:rPr>
        <w:t>V</w:t>
      </w:r>
      <w:r w:rsidRPr="00AB3FCC">
        <w:rPr>
          <w:rFonts w:cstheme="minorHAnsi"/>
        </w:rPr>
        <w:t xml:space="preserve"> </w:t>
      </w:r>
      <w:r w:rsidR="0083310A">
        <w:rPr>
          <w:rFonts w:cstheme="minorHAnsi"/>
        </w:rPr>
        <w:t xml:space="preserve">настоящего </w:t>
      </w:r>
      <w:r>
        <w:rPr>
          <w:rFonts w:cstheme="minorHAnsi"/>
        </w:rPr>
        <w:t>Приложения</w:t>
      </w:r>
      <w:r w:rsidR="0083310A">
        <w:rPr>
          <w:rFonts w:cstheme="minorHAnsi"/>
        </w:rPr>
        <w:t xml:space="preserve"> 15</w:t>
      </w:r>
      <w:r>
        <w:rPr>
          <w:rFonts w:cstheme="minorHAnsi"/>
        </w:rPr>
        <w:t xml:space="preserve">, документы и иные материалы, подтверждающие фактические данные, указанные в отчете. </w:t>
      </w:r>
    </w:p>
    <w:p w14:paraId="45B7C050" w14:textId="21BD66B4" w:rsidR="001D7C58" w:rsidRPr="00AB3FCC" w:rsidRDefault="001D7C58" w:rsidP="00AB3FCC">
      <w:pPr>
        <w:pStyle w:val="ListParagraph"/>
        <w:numPr>
          <w:ilvl w:val="3"/>
          <w:numId w:val="17"/>
        </w:numPr>
        <w:tabs>
          <w:tab w:val="left" w:pos="567"/>
        </w:tabs>
        <w:spacing w:after="24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>В случае возникновения у Публичного партнера вопросов к содержанию отчетов, направленным Частным партнером в соответствии с пункт</w:t>
      </w:r>
      <w:r w:rsidR="0083310A">
        <w:rPr>
          <w:rFonts w:cstheme="minorHAnsi"/>
        </w:rPr>
        <w:t>а</w:t>
      </w:r>
      <w:r>
        <w:rPr>
          <w:rFonts w:cstheme="minorHAnsi"/>
        </w:rPr>
        <w:t>м</w:t>
      </w:r>
      <w:r w:rsidR="0083310A">
        <w:rPr>
          <w:rFonts w:cstheme="minorHAnsi"/>
        </w:rPr>
        <w:t>и</w:t>
      </w:r>
      <w:r>
        <w:rPr>
          <w:rFonts w:cstheme="minorHAnsi"/>
        </w:rPr>
        <w:t xml:space="preserve"> 1 и 2 </w:t>
      </w:r>
      <w:r w:rsidR="0083310A">
        <w:rPr>
          <w:rFonts w:cstheme="minorHAnsi"/>
        </w:rPr>
        <w:t>раздела</w:t>
      </w:r>
      <w:r>
        <w:rPr>
          <w:rFonts w:cstheme="minorHAnsi"/>
        </w:rPr>
        <w:t xml:space="preserve"> </w:t>
      </w:r>
      <w:r>
        <w:rPr>
          <w:rFonts w:cstheme="minorHAnsi"/>
          <w:lang w:val="en-US"/>
        </w:rPr>
        <w:t>V</w:t>
      </w:r>
      <w:r w:rsidRPr="00AB3FCC">
        <w:rPr>
          <w:rFonts w:cstheme="minorHAnsi"/>
        </w:rPr>
        <w:t xml:space="preserve"> </w:t>
      </w:r>
      <w:r w:rsidR="0083310A">
        <w:rPr>
          <w:rFonts w:cstheme="minorHAnsi"/>
        </w:rPr>
        <w:t xml:space="preserve">настоящего </w:t>
      </w:r>
      <w:r>
        <w:rPr>
          <w:rFonts w:cstheme="minorHAnsi"/>
        </w:rPr>
        <w:t>Приложения</w:t>
      </w:r>
      <w:r w:rsidR="0083310A">
        <w:rPr>
          <w:rFonts w:cstheme="minorHAnsi"/>
        </w:rPr>
        <w:t xml:space="preserve"> 15</w:t>
      </w:r>
      <w:r>
        <w:rPr>
          <w:rFonts w:cstheme="minorHAnsi"/>
        </w:rPr>
        <w:t xml:space="preserve">, Публичный партнер вправе </w:t>
      </w:r>
      <w:r w:rsidR="0083310A">
        <w:rPr>
          <w:rFonts w:cstheme="minorHAnsi"/>
        </w:rPr>
        <w:t xml:space="preserve">в течение 10 (десяти) рабочих дней с даты получения соответствующих отчетов </w:t>
      </w:r>
      <w:r w:rsidR="008525C5">
        <w:rPr>
          <w:rFonts w:cstheme="minorHAnsi"/>
        </w:rPr>
        <w:t>запросить у Частного партнера дополнительную или уточняющую информацию и данные для подтверждения фактических данных, указанных в отчетах. Отсутствие запроса о направлении дополнительных данных со стороны Публичного партнера в указанный срок означает согласие Публичного партнера с данными, приведенными в соответствующих отчетах.</w:t>
      </w:r>
    </w:p>
    <w:p w14:paraId="28417F62" w14:textId="4EC862AE" w:rsidR="00543A52" w:rsidRDefault="00843E6A" w:rsidP="00FA28EC">
      <w:pPr>
        <w:pStyle w:val="ListParagraph"/>
        <w:numPr>
          <w:ilvl w:val="0"/>
          <w:numId w:val="15"/>
        </w:numPr>
        <w:spacing w:after="240" w:line="259" w:lineRule="auto"/>
        <w:ind w:left="567" w:hanging="567"/>
        <w:contextualSpacing w:val="0"/>
        <w:jc w:val="both"/>
        <w:rPr>
          <w:rFonts w:cstheme="minorHAnsi"/>
          <w:b/>
          <w:bCs/>
        </w:rPr>
      </w:pPr>
      <w:r w:rsidRPr="00843E6A">
        <w:rPr>
          <w:rFonts w:cstheme="minorHAnsi"/>
          <w:b/>
          <w:bCs/>
        </w:rPr>
        <w:t>Таблицы</w:t>
      </w:r>
      <w:r w:rsidR="00543A52">
        <w:rPr>
          <w:rFonts w:cstheme="minorHAnsi"/>
          <w:b/>
          <w:bCs/>
        </w:rPr>
        <w:t xml:space="preserve">, прилагаемые к </w:t>
      </w:r>
      <w:r w:rsidR="00AB3FCC">
        <w:rPr>
          <w:rFonts w:cstheme="minorHAnsi"/>
          <w:b/>
          <w:bCs/>
        </w:rPr>
        <w:t xml:space="preserve">настоящему Приложению </w:t>
      </w:r>
      <w:r w:rsidR="0083310A">
        <w:rPr>
          <w:rFonts w:cstheme="minorHAnsi"/>
          <w:b/>
          <w:bCs/>
        </w:rPr>
        <w:t>15</w:t>
      </w:r>
    </w:p>
    <w:p w14:paraId="66C72925" w14:textId="7A316650" w:rsidR="005F542D" w:rsidRPr="005F542D" w:rsidRDefault="005F542D" w:rsidP="005F542D">
      <w:pPr>
        <w:spacing w:after="240" w:line="259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46699AF" w14:textId="77777777" w:rsidR="00D8748D" w:rsidRDefault="00D57DBE" w:rsidP="00D8748D">
      <w:pPr>
        <w:spacing w:after="0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Таблица 1. </w:t>
      </w:r>
    </w:p>
    <w:p w14:paraId="61D62D33" w14:textId="3E307789" w:rsidR="00D57DBE" w:rsidRPr="00FA28EC" w:rsidRDefault="00D57DBE" w:rsidP="00FA28EC">
      <w:pPr>
        <w:spacing w:after="360" w:line="240" w:lineRule="auto"/>
        <w:jc w:val="right"/>
      </w:pPr>
      <w:r w:rsidRPr="00FA28EC">
        <w:t xml:space="preserve">Прогнозные показатели в отношении </w:t>
      </w:r>
      <w:r w:rsidR="007E261F" w:rsidRPr="00FA28EC">
        <w:t xml:space="preserve">минимального </w:t>
      </w:r>
      <w:r w:rsidRPr="00FA28EC">
        <w:t>количества случаев госпитализации пациентов в стационарных условиях по территориальной программе ОМС Республики Татарстан</w:t>
      </w:r>
      <w:r w:rsidR="000B4972" w:rsidRPr="00FA28EC">
        <w:t xml:space="preserve"> за каждый календарный год Эксплуатации</w:t>
      </w:r>
    </w:p>
    <w:tbl>
      <w:tblPr>
        <w:tblStyle w:val="TableGrid"/>
        <w:tblW w:w="8788" w:type="dxa"/>
        <w:tblInd w:w="279" w:type="dxa"/>
        <w:tblLook w:val="04A0" w:firstRow="1" w:lastRow="0" w:firstColumn="1" w:lastColumn="0" w:noHBand="0" w:noVBand="1"/>
      </w:tblPr>
      <w:tblGrid>
        <w:gridCol w:w="1156"/>
        <w:gridCol w:w="5432"/>
        <w:gridCol w:w="2200"/>
      </w:tblGrid>
      <w:tr w:rsidR="00B00914" w:rsidRPr="00D727E5" w14:paraId="0A928596" w14:textId="77777777" w:rsidTr="00FA28EC">
        <w:tc>
          <w:tcPr>
            <w:tcW w:w="588" w:type="dxa"/>
            <w:shd w:val="clear" w:color="auto" w:fill="E2EFD9" w:themeFill="accent6" w:themeFillTint="33"/>
          </w:tcPr>
          <w:p w14:paraId="2FE3DA2C" w14:textId="6BDFC56D" w:rsidR="00B00914" w:rsidRPr="00D727E5" w:rsidRDefault="00B00914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Код КСГ</w:t>
            </w:r>
          </w:p>
        </w:tc>
        <w:tc>
          <w:tcPr>
            <w:tcW w:w="5944" w:type="dxa"/>
            <w:shd w:val="clear" w:color="auto" w:fill="E2EFD9" w:themeFill="accent6" w:themeFillTint="33"/>
          </w:tcPr>
          <w:p w14:paraId="4EF95962" w14:textId="0FB464E7" w:rsidR="00B00914" w:rsidRPr="00D727E5" w:rsidRDefault="00B00914" w:rsidP="00FA28EC">
            <w:pPr>
              <w:spacing w:before="36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Наименование КСГ</w:t>
            </w:r>
          </w:p>
        </w:tc>
        <w:tc>
          <w:tcPr>
            <w:tcW w:w="2256" w:type="dxa"/>
            <w:shd w:val="clear" w:color="auto" w:fill="E2EFD9" w:themeFill="accent6" w:themeFillTint="33"/>
          </w:tcPr>
          <w:p w14:paraId="5C17728D" w14:textId="51B3E8B8" w:rsidR="00B00914" w:rsidRPr="00D727E5" w:rsidRDefault="00B00914" w:rsidP="00FA28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Количество случаев госпитализации, не менее</w:t>
            </w:r>
          </w:p>
        </w:tc>
      </w:tr>
      <w:tr w:rsidR="00B00914" w14:paraId="013A0919" w14:textId="77777777" w:rsidTr="00FA28EC">
        <w:tc>
          <w:tcPr>
            <w:tcW w:w="588" w:type="dxa"/>
          </w:tcPr>
          <w:p w14:paraId="013037A4" w14:textId="4A810C46" w:rsidR="00B00914" w:rsidRDefault="003812C9" w:rsidP="003812C9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5</w:t>
            </w:r>
          </w:p>
        </w:tc>
        <w:tc>
          <w:tcPr>
            <w:tcW w:w="5944" w:type="dxa"/>
          </w:tcPr>
          <w:p w14:paraId="31D331CC" w14:textId="3A05897B" w:rsidR="00B00914" w:rsidRDefault="003812C9" w:rsidP="00D57DBE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(3 балла по ШРМ)</w:t>
            </w:r>
          </w:p>
        </w:tc>
        <w:tc>
          <w:tcPr>
            <w:tcW w:w="2256" w:type="dxa"/>
          </w:tcPr>
          <w:p w14:paraId="0E2A20D3" w14:textId="5B6FA83A" w:rsidR="00B00914" w:rsidRDefault="003812C9" w:rsidP="003812C9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1</w:t>
            </w:r>
            <w:r>
              <w:rPr>
                <w:rFonts w:cstheme="minorHAnsi"/>
              </w:rPr>
              <w:t>3</w:t>
            </w:r>
            <w:r w:rsidRPr="00E53DDF">
              <w:rPr>
                <w:rFonts w:cstheme="minorHAnsi"/>
              </w:rPr>
              <w:t>0</w:t>
            </w:r>
          </w:p>
        </w:tc>
      </w:tr>
      <w:tr w:rsidR="00F84AFA" w14:paraId="24931377" w14:textId="77777777" w:rsidTr="00FA28EC">
        <w:tc>
          <w:tcPr>
            <w:tcW w:w="588" w:type="dxa"/>
          </w:tcPr>
          <w:p w14:paraId="4DA528FD" w14:textId="2B258FEC" w:rsidR="00F84AFA" w:rsidRDefault="003812C9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6.2</w:t>
            </w:r>
          </w:p>
        </w:tc>
        <w:tc>
          <w:tcPr>
            <w:tcW w:w="5944" w:type="dxa"/>
          </w:tcPr>
          <w:p w14:paraId="54224036" w14:textId="65980A37" w:rsidR="00F84AFA" w:rsidRDefault="003812C9" w:rsidP="00594C12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4</w:t>
            </w:r>
            <w:r w:rsidRPr="00E53DDF">
              <w:rPr>
                <w:rFonts w:cstheme="minorHAnsi"/>
              </w:rPr>
              <w:t xml:space="preserve"> балла по ШРМ) (уровень 2) </w:t>
            </w:r>
          </w:p>
        </w:tc>
        <w:tc>
          <w:tcPr>
            <w:tcW w:w="2256" w:type="dxa"/>
          </w:tcPr>
          <w:p w14:paraId="41062A57" w14:textId="4A20C0FA" w:rsidR="00F84AFA" w:rsidRDefault="003812C9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1</w:t>
            </w:r>
            <w:r>
              <w:rPr>
                <w:rFonts w:cstheme="minorHAnsi"/>
              </w:rPr>
              <w:t>23</w:t>
            </w:r>
            <w:r w:rsidRPr="00E53DDF">
              <w:rPr>
                <w:rFonts w:cstheme="minorHAnsi"/>
              </w:rPr>
              <w:t>0</w:t>
            </w:r>
          </w:p>
        </w:tc>
      </w:tr>
      <w:tr w:rsidR="00F84AFA" w14:paraId="10FCD636" w14:textId="77777777" w:rsidTr="00FA28EC">
        <w:tc>
          <w:tcPr>
            <w:tcW w:w="588" w:type="dxa"/>
          </w:tcPr>
          <w:p w14:paraId="395E7720" w14:textId="5F964872" w:rsidR="00F84AFA" w:rsidRDefault="003812C9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7</w:t>
            </w:r>
          </w:p>
        </w:tc>
        <w:tc>
          <w:tcPr>
            <w:tcW w:w="5944" w:type="dxa"/>
          </w:tcPr>
          <w:p w14:paraId="780CD79F" w14:textId="23663886" w:rsidR="00F84AFA" w:rsidRDefault="003812C9" w:rsidP="00594C12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5</w:t>
            </w:r>
            <w:r w:rsidRPr="00E53DDF">
              <w:rPr>
                <w:rFonts w:cstheme="minorHAnsi"/>
              </w:rPr>
              <w:t xml:space="preserve"> балл</w:t>
            </w:r>
            <w:r>
              <w:rPr>
                <w:rFonts w:cstheme="minorHAnsi"/>
              </w:rPr>
              <w:t>ов</w:t>
            </w:r>
            <w:r w:rsidRPr="00E53DDF">
              <w:rPr>
                <w:rFonts w:cstheme="minorHAnsi"/>
              </w:rPr>
              <w:t xml:space="preserve"> по ШРМ) </w:t>
            </w:r>
          </w:p>
        </w:tc>
        <w:tc>
          <w:tcPr>
            <w:tcW w:w="2256" w:type="dxa"/>
          </w:tcPr>
          <w:p w14:paraId="1FB8D62A" w14:textId="5E6C5CF2" w:rsidR="00F84AFA" w:rsidRDefault="003812C9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3</w:t>
            </w:r>
            <w:r w:rsidRPr="00E53DDF">
              <w:rPr>
                <w:rFonts w:cstheme="minorHAnsi"/>
              </w:rPr>
              <w:t>0</w:t>
            </w:r>
            <w:r>
              <w:rPr>
                <w:rFonts w:cstheme="minorHAnsi"/>
              </w:rPr>
              <w:t>0</w:t>
            </w:r>
          </w:p>
        </w:tc>
      </w:tr>
      <w:tr w:rsidR="00F84AFA" w14:paraId="11B811A5" w14:textId="77777777" w:rsidTr="00FA28EC">
        <w:tc>
          <w:tcPr>
            <w:tcW w:w="588" w:type="dxa"/>
          </w:tcPr>
          <w:p w14:paraId="4EB29DFF" w14:textId="77EF15B8" w:rsidR="00F84AFA" w:rsidRDefault="003812C9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st37.001.2</w:t>
            </w:r>
          </w:p>
        </w:tc>
        <w:tc>
          <w:tcPr>
            <w:tcW w:w="5944" w:type="dxa"/>
          </w:tcPr>
          <w:p w14:paraId="35642B4F" w14:textId="72F4674B" w:rsidR="00F84AFA" w:rsidRDefault="003812C9" w:rsidP="00594C12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(3 балла по ШРМ) (уровень 2) </w:t>
            </w:r>
          </w:p>
        </w:tc>
        <w:tc>
          <w:tcPr>
            <w:tcW w:w="2256" w:type="dxa"/>
          </w:tcPr>
          <w:p w14:paraId="5EDE5036" w14:textId="1024E867" w:rsidR="00F84AFA" w:rsidRDefault="003812C9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150</w:t>
            </w:r>
          </w:p>
        </w:tc>
      </w:tr>
      <w:tr w:rsidR="00F84AFA" w14:paraId="18F949ED" w14:textId="77777777" w:rsidTr="00FA28EC">
        <w:tc>
          <w:tcPr>
            <w:tcW w:w="588" w:type="dxa"/>
          </w:tcPr>
          <w:p w14:paraId="5D899B3D" w14:textId="1706F6BB" w:rsidR="00F84AFA" w:rsidRDefault="00FA3EBE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st37.002.2</w:t>
            </w:r>
          </w:p>
        </w:tc>
        <w:tc>
          <w:tcPr>
            <w:tcW w:w="5944" w:type="dxa"/>
          </w:tcPr>
          <w:p w14:paraId="03156B20" w14:textId="013429FF" w:rsidR="00F84AFA" w:rsidRDefault="00FA3EBE" w:rsidP="00594C12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(4 балла по ШРМ) (уровень 2) </w:t>
            </w:r>
          </w:p>
        </w:tc>
        <w:tc>
          <w:tcPr>
            <w:tcW w:w="2256" w:type="dxa"/>
          </w:tcPr>
          <w:p w14:paraId="67BB56AE" w14:textId="659DE4A2" w:rsidR="00F84AFA" w:rsidRDefault="00FA3EBE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1050</w:t>
            </w:r>
          </w:p>
        </w:tc>
      </w:tr>
      <w:tr w:rsidR="00F84AFA" w14:paraId="03917997" w14:textId="77777777" w:rsidTr="00FA28EC">
        <w:tc>
          <w:tcPr>
            <w:tcW w:w="588" w:type="dxa"/>
            <w:tcBorders>
              <w:bottom w:val="single" w:sz="4" w:space="0" w:color="auto"/>
            </w:tcBorders>
          </w:tcPr>
          <w:p w14:paraId="2E95C51E" w14:textId="274ADAD9" w:rsidR="00F84AFA" w:rsidRDefault="00FA3EBE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st37.003.2</w:t>
            </w:r>
          </w:p>
        </w:tc>
        <w:tc>
          <w:tcPr>
            <w:tcW w:w="5944" w:type="dxa"/>
            <w:tcBorders>
              <w:bottom w:val="single" w:sz="4" w:space="0" w:color="auto"/>
            </w:tcBorders>
          </w:tcPr>
          <w:p w14:paraId="42B7D655" w14:textId="7DBA7DC9" w:rsidR="00F84AFA" w:rsidRDefault="00FA3EBE" w:rsidP="00594C12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(5 баллов по ШРМ) (уровень 2)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1A64AD4" w14:textId="771E2D5F" w:rsidR="00F84AFA" w:rsidRDefault="00FA3EBE" w:rsidP="00594C12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300</w:t>
            </w:r>
          </w:p>
        </w:tc>
      </w:tr>
      <w:tr w:rsidR="00FA3EBE" w14:paraId="073583C5" w14:textId="77777777" w:rsidTr="00FA28EC">
        <w:tc>
          <w:tcPr>
            <w:tcW w:w="6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BEA7" w14:textId="65ED94EB" w:rsidR="00FA3EBE" w:rsidRPr="00FA3EBE" w:rsidRDefault="00FA3EBE" w:rsidP="00FA3EBE">
            <w:pPr>
              <w:spacing w:after="120"/>
              <w:jc w:val="center"/>
              <w:rPr>
                <w:rFonts w:cstheme="minorHAnsi"/>
              </w:rPr>
            </w:pPr>
            <w:r w:rsidRPr="00FA3EBE">
              <w:rPr>
                <w:rFonts w:cstheme="minorHAnsi"/>
              </w:rPr>
              <w:t>Всего по всем КСГ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CED5" w14:textId="21B5D75F" w:rsidR="00FA3EBE" w:rsidRPr="00FA3EBE" w:rsidRDefault="00FA3EBE" w:rsidP="00594C12">
            <w:pPr>
              <w:spacing w:after="120"/>
              <w:jc w:val="center"/>
              <w:rPr>
                <w:rFonts w:cstheme="minorHAnsi"/>
              </w:rPr>
            </w:pPr>
            <w:r w:rsidRPr="00FA3EBE">
              <w:rPr>
                <w:rFonts w:cstheme="minorHAnsi"/>
              </w:rPr>
              <w:t>3160</w:t>
            </w:r>
          </w:p>
        </w:tc>
      </w:tr>
    </w:tbl>
    <w:p w14:paraId="61950ADD" w14:textId="3B17606A" w:rsidR="00D57DBE" w:rsidRDefault="005F542D" w:rsidP="005F542D">
      <w:pPr>
        <w:spacing w:after="12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EA72CA7" w14:textId="77777777" w:rsidR="00D8748D" w:rsidRDefault="00A147F9" w:rsidP="005F542D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Таблица 2. </w:t>
      </w:r>
    </w:p>
    <w:p w14:paraId="70B5A4FC" w14:textId="693DB073" w:rsidR="005F542D" w:rsidRPr="00D8748D" w:rsidRDefault="00A147F9" w:rsidP="005F542D">
      <w:pPr>
        <w:spacing w:after="0" w:line="240" w:lineRule="auto"/>
        <w:jc w:val="right"/>
        <w:rPr>
          <w:rFonts w:cstheme="minorHAnsi"/>
          <w:bCs/>
        </w:rPr>
      </w:pPr>
      <w:r w:rsidRPr="00FA28EC">
        <w:t xml:space="preserve">Средние ежедневные показатели </w:t>
      </w:r>
    </w:p>
    <w:p w14:paraId="71182AE6" w14:textId="4BEC19C3" w:rsidR="00A147F9" w:rsidRPr="00FA28EC" w:rsidRDefault="00A147F9" w:rsidP="00FA28EC">
      <w:pPr>
        <w:spacing w:after="120" w:line="240" w:lineRule="auto"/>
        <w:jc w:val="right"/>
      </w:pPr>
      <w:r w:rsidRPr="00FA28EC">
        <w:t>Прогнозного объема основных медицинских услуг</w:t>
      </w:r>
    </w:p>
    <w:p w14:paraId="1E919F7E" w14:textId="60CA5F81" w:rsidR="005F542D" w:rsidRPr="005F542D" w:rsidRDefault="005F542D" w:rsidP="005F542D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8788" w:type="dxa"/>
        <w:tblInd w:w="279" w:type="dxa"/>
        <w:tblLook w:val="04A0" w:firstRow="1" w:lastRow="0" w:firstColumn="1" w:lastColumn="0" w:noHBand="0" w:noVBand="1"/>
      </w:tblPr>
      <w:tblGrid>
        <w:gridCol w:w="1156"/>
        <w:gridCol w:w="5364"/>
        <w:gridCol w:w="2268"/>
      </w:tblGrid>
      <w:tr w:rsidR="00004C2E" w:rsidRPr="00D727E5" w14:paraId="08082AB4" w14:textId="77777777" w:rsidTr="00FA28EC">
        <w:tc>
          <w:tcPr>
            <w:tcW w:w="1156" w:type="dxa"/>
            <w:shd w:val="clear" w:color="auto" w:fill="E2EFD9" w:themeFill="accent6" w:themeFillTint="33"/>
          </w:tcPr>
          <w:p w14:paraId="6A42C78F" w14:textId="77777777" w:rsidR="00004C2E" w:rsidRPr="00D727E5" w:rsidRDefault="00004C2E" w:rsidP="00E30EF5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Код КСГ</w:t>
            </w:r>
          </w:p>
        </w:tc>
        <w:tc>
          <w:tcPr>
            <w:tcW w:w="5364" w:type="dxa"/>
            <w:shd w:val="clear" w:color="auto" w:fill="E2EFD9" w:themeFill="accent6" w:themeFillTint="33"/>
          </w:tcPr>
          <w:p w14:paraId="1EEEB854" w14:textId="77777777" w:rsidR="00004C2E" w:rsidRPr="00D727E5" w:rsidRDefault="00004C2E" w:rsidP="00E30EF5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>Наименование КСГ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46CE2371" w14:textId="77777777" w:rsidR="00D8748D" w:rsidRDefault="00004C2E" w:rsidP="00D8748D">
            <w:pPr>
              <w:spacing w:before="240"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Количество случаев госпитализации за один Рабочий день в среднем, </w:t>
            </w:r>
          </w:p>
          <w:p w14:paraId="47224043" w14:textId="18B3DA65" w:rsidR="00004C2E" w:rsidRPr="00FA28EC" w:rsidRDefault="00004C2E" w:rsidP="00FA28EC">
            <w:pPr>
              <w:spacing w:before="120" w:after="120"/>
              <w:jc w:val="center"/>
              <w:rPr>
                <w:rFonts w:ascii="Arial" w:hAnsi="Arial"/>
                <w:i/>
                <w:sz w:val="18"/>
              </w:rPr>
            </w:pPr>
            <w:r w:rsidRPr="00FA28EC">
              <w:rPr>
                <w:i/>
              </w:rPr>
              <w:t>не менее</w:t>
            </w:r>
          </w:p>
        </w:tc>
      </w:tr>
      <w:tr w:rsidR="00004C2E" w14:paraId="22F18B5B" w14:textId="77777777" w:rsidTr="00FA28EC">
        <w:tc>
          <w:tcPr>
            <w:tcW w:w="1156" w:type="dxa"/>
          </w:tcPr>
          <w:p w14:paraId="3C5ADF22" w14:textId="77777777" w:rsidR="00004C2E" w:rsidRDefault="00004C2E" w:rsidP="00E30EF5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5</w:t>
            </w:r>
          </w:p>
        </w:tc>
        <w:tc>
          <w:tcPr>
            <w:tcW w:w="5364" w:type="dxa"/>
          </w:tcPr>
          <w:p w14:paraId="052EE77C" w14:textId="77777777" w:rsidR="00004C2E" w:rsidRDefault="00004C2E" w:rsidP="00E30EF5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(3 балла по ШРМ)</w:t>
            </w:r>
          </w:p>
        </w:tc>
        <w:tc>
          <w:tcPr>
            <w:tcW w:w="2268" w:type="dxa"/>
          </w:tcPr>
          <w:p w14:paraId="73732223" w14:textId="519E166D" w:rsidR="00004C2E" w:rsidRPr="00004C2E" w:rsidRDefault="00004C2E" w:rsidP="00E30EF5">
            <w:pPr>
              <w:spacing w:after="120"/>
              <w:jc w:val="center"/>
              <w:rPr>
                <w:rFonts w:cstheme="minorHAnsi"/>
              </w:rPr>
            </w:pPr>
            <w:r w:rsidRPr="00004C2E">
              <w:rPr>
                <w:rFonts w:cstheme="minorHAnsi"/>
              </w:rPr>
              <w:t>0,5263</w:t>
            </w:r>
          </w:p>
        </w:tc>
      </w:tr>
      <w:tr w:rsidR="00004C2E" w14:paraId="4DD90E2C" w14:textId="77777777" w:rsidTr="00FA28EC">
        <w:tc>
          <w:tcPr>
            <w:tcW w:w="1156" w:type="dxa"/>
          </w:tcPr>
          <w:p w14:paraId="277BF89A" w14:textId="77777777" w:rsidR="00004C2E" w:rsidRDefault="00004C2E" w:rsidP="00E30EF5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6.2</w:t>
            </w:r>
          </w:p>
        </w:tc>
        <w:tc>
          <w:tcPr>
            <w:tcW w:w="5364" w:type="dxa"/>
          </w:tcPr>
          <w:p w14:paraId="59FCFDEA" w14:textId="77777777" w:rsidR="00004C2E" w:rsidRDefault="00004C2E" w:rsidP="00E30EF5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4</w:t>
            </w:r>
            <w:r w:rsidRPr="00E53DDF">
              <w:rPr>
                <w:rFonts w:cstheme="minorHAnsi"/>
              </w:rPr>
              <w:t xml:space="preserve"> балла по ШРМ) (уровень 2) </w:t>
            </w:r>
          </w:p>
        </w:tc>
        <w:tc>
          <w:tcPr>
            <w:tcW w:w="2268" w:type="dxa"/>
          </w:tcPr>
          <w:p w14:paraId="59A5EF45" w14:textId="457B0739" w:rsidR="00004C2E" w:rsidRPr="00004C2E" w:rsidRDefault="00004C2E" w:rsidP="00E30EF5">
            <w:pPr>
              <w:spacing w:after="120"/>
              <w:jc w:val="center"/>
              <w:rPr>
                <w:rFonts w:cstheme="minorHAnsi"/>
              </w:rPr>
            </w:pPr>
            <w:r w:rsidRPr="00004C2E">
              <w:rPr>
                <w:rFonts w:cstheme="minorHAnsi"/>
              </w:rPr>
              <w:t>4,9798</w:t>
            </w:r>
          </w:p>
        </w:tc>
      </w:tr>
      <w:tr w:rsidR="00004C2E" w14:paraId="3C2618A8" w14:textId="77777777" w:rsidTr="00FA28EC">
        <w:tc>
          <w:tcPr>
            <w:tcW w:w="1156" w:type="dxa"/>
          </w:tcPr>
          <w:p w14:paraId="1B017B3D" w14:textId="77777777" w:rsidR="00004C2E" w:rsidRDefault="00004C2E" w:rsidP="00E30EF5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</w:t>
            </w:r>
            <w:r>
              <w:rPr>
                <w:rFonts w:cstheme="minorHAnsi"/>
              </w:rPr>
              <w:t>7</w:t>
            </w:r>
          </w:p>
        </w:tc>
        <w:tc>
          <w:tcPr>
            <w:tcW w:w="5364" w:type="dxa"/>
          </w:tcPr>
          <w:p w14:paraId="22E1910E" w14:textId="77777777" w:rsidR="00004C2E" w:rsidRDefault="00004C2E" w:rsidP="00E30EF5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</w:t>
            </w:r>
            <w:r>
              <w:rPr>
                <w:rFonts w:cstheme="minorHAnsi"/>
              </w:rPr>
              <w:t>опорно-двигательного аппарата и периферической нервной системы</w:t>
            </w:r>
            <w:r w:rsidRPr="00E53DDF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5</w:t>
            </w:r>
            <w:r w:rsidRPr="00E53DDF">
              <w:rPr>
                <w:rFonts w:cstheme="minorHAnsi"/>
              </w:rPr>
              <w:t xml:space="preserve"> балл</w:t>
            </w:r>
            <w:r>
              <w:rPr>
                <w:rFonts w:cstheme="minorHAnsi"/>
              </w:rPr>
              <w:t>ов</w:t>
            </w:r>
            <w:r w:rsidRPr="00E53DDF">
              <w:rPr>
                <w:rFonts w:cstheme="minorHAnsi"/>
              </w:rPr>
              <w:t xml:space="preserve"> по ШРМ) </w:t>
            </w:r>
          </w:p>
        </w:tc>
        <w:tc>
          <w:tcPr>
            <w:tcW w:w="2268" w:type="dxa"/>
          </w:tcPr>
          <w:p w14:paraId="42867AE9" w14:textId="6C544EC8" w:rsidR="00004C2E" w:rsidRPr="00004C2E" w:rsidRDefault="00004C2E" w:rsidP="00E30EF5">
            <w:pPr>
              <w:spacing w:after="120"/>
              <w:jc w:val="center"/>
              <w:rPr>
                <w:rFonts w:cstheme="minorHAnsi"/>
              </w:rPr>
            </w:pPr>
            <w:r w:rsidRPr="00004C2E">
              <w:rPr>
                <w:rFonts w:cstheme="minorHAnsi"/>
              </w:rPr>
              <w:t>1,2146</w:t>
            </w:r>
          </w:p>
        </w:tc>
      </w:tr>
      <w:tr w:rsidR="00004C2E" w14:paraId="7C30F3A1" w14:textId="77777777" w:rsidTr="00FA28EC">
        <w:tc>
          <w:tcPr>
            <w:tcW w:w="1156" w:type="dxa"/>
          </w:tcPr>
          <w:p w14:paraId="1C8CC0F9" w14:textId="77777777" w:rsidR="00004C2E" w:rsidRDefault="00004C2E" w:rsidP="00E30EF5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st37.001.2</w:t>
            </w:r>
          </w:p>
        </w:tc>
        <w:tc>
          <w:tcPr>
            <w:tcW w:w="5364" w:type="dxa"/>
          </w:tcPr>
          <w:p w14:paraId="5ED3BF10" w14:textId="77777777" w:rsidR="00004C2E" w:rsidRDefault="00004C2E" w:rsidP="00E30EF5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(3 балла по ШРМ) (уровень 2) </w:t>
            </w:r>
          </w:p>
        </w:tc>
        <w:tc>
          <w:tcPr>
            <w:tcW w:w="2268" w:type="dxa"/>
          </w:tcPr>
          <w:p w14:paraId="7C55A1E6" w14:textId="5BEFBF92" w:rsidR="00004C2E" w:rsidRPr="00004C2E" w:rsidRDefault="00004C2E" w:rsidP="00E30EF5">
            <w:pPr>
              <w:spacing w:after="120"/>
              <w:jc w:val="center"/>
              <w:rPr>
                <w:rFonts w:cstheme="minorHAnsi"/>
              </w:rPr>
            </w:pPr>
            <w:r w:rsidRPr="00004C2E">
              <w:rPr>
                <w:rFonts w:cstheme="minorHAnsi"/>
              </w:rPr>
              <w:t>0,6073</w:t>
            </w:r>
          </w:p>
        </w:tc>
      </w:tr>
      <w:tr w:rsidR="00004C2E" w14:paraId="6AE2DA61" w14:textId="77777777" w:rsidTr="00FA28EC">
        <w:tc>
          <w:tcPr>
            <w:tcW w:w="1156" w:type="dxa"/>
          </w:tcPr>
          <w:p w14:paraId="7CFF6A16" w14:textId="77777777" w:rsidR="00004C2E" w:rsidRDefault="00004C2E" w:rsidP="00E30EF5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st37.002.2</w:t>
            </w:r>
          </w:p>
        </w:tc>
        <w:tc>
          <w:tcPr>
            <w:tcW w:w="5364" w:type="dxa"/>
          </w:tcPr>
          <w:p w14:paraId="6D95BEE8" w14:textId="77777777" w:rsidR="00004C2E" w:rsidRDefault="00004C2E" w:rsidP="00E30EF5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(4 балла по ШРМ) (уровень 2) </w:t>
            </w:r>
          </w:p>
        </w:tc>
        <w:tc>
          <w:tcPr>
            <w:tcW w:w="2268" w:type="dxa"/>
          </w:tcPr>
          <w:p w14:paraId="24C9C04C" w14:textId="137B5492" w:rsidR="00004C2E" w:rsidRPr="00004C2E" w:rsidRDefault="00004C2E" w:rsidP="00E30EF5">
            <w:pPr>
              <w:spacing w:after="120"/>
              <w:jc w:val="center"/>
              <w:rPr>
                <w:rFonts w:cstheme="minorHAnsi"/>
              </w:rPr>
            </w:pPr>
            <w:r w:rsidRPr="00004C2E">
              <w:rPr>
                <w:rFonts w:cstheme="minorHAnsi"/>
              </w:rPr>
              <w:t>4,2510</w:t>
            </w:r>
          </w:p>
        </w:tc>
      </w:tr>
      <w:tr w:rsidR="00004C2E" w14:paraId="260199AE" w14:textId="77777777" w:rsidTr="00FA28EC">
        <w:tc>
          <w:tcPr>
            <w:tcW w:w="1156" w:type="dxa"/>
            <w:tcBorders>
              <w:bottom w:val="single" w:sz="4" w:space="0" w:color="auto"/>
            </w:tcBorders>
          </w:tcPr>
          <w:p w14:paraId="1BE0B2FA" w14:textId="77777777" w:rsidR="00004C2E" w:rsidRDefault="00004C2E" w:rsidP="00E30EF5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>st37.003.2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14:paraId="163EDE7D" w14:textId="77777777" w:rsidR="00004C2E" w:rsidRDefault="00004C2E" w:rsidP="00E30EF5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E53DDF">
              <w:rPr>
                <w:rFonts w:cstheme="minorHAnsi"/>
              </w:rPr>
              <w:t xml:space="preserve">Медицинская реабилитация пациентов с заболеваниями центральной нервной системы (5 баллов по ШРМ) (уровень 2)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4EA27B2" w14:textId="5879B597" w:rsidR="00004C2E" w:rsidRPr="00004C2E" w:rsidRDefault="00004C2E" w:rsidP="00E30EF5">
            <w:pPr>
              <w:spacing w:after="120"/>
              <w:jc w:val="center"/>
              <w:rPr>
                <w:rFonts w:cstheme="minorHAnsi"/>
              </w:rPr>
            </w:pPr>
            <w:r w:rsidRPr="00004C2E">
              <w:rPr>
                <w:rFonts w:cstheme="minorHAnsi"/>
              </w:rPr>
              <w:t>1,2146</w:t>
            </w:r>
          </w:p>
        </w:tc>
      </w:tr>
      <w:tr w:rsidR="00004C2E" w14:paraId="2769DAA4" w14:textId="77777777" w:rsidTr="00FA28EC"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5CAA" w14:textId="77777777" w:rsidR="00004C2E" w:rsidRPr="00FA28EC" w:rsidRDefault="00004C2E" w:rsidP="00FA28EC">
            <w:pPr>
              <w:spacing w:before="120" w:after="120"/>
              <w:jc w:val="center"/>
              <w:rPr>
                <w:b/>
              </w:rPr>
            </w:pPr>
            <w:r w:rsidRPr="00FA28EC">
              <w:rPr>
                <w:b/>
              </w:rPr>
              <w:t>Всего по всем КСГ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EED" w14:textId="52067B5F" w:rsidR="00004C2E" w:rsidRPr="00FA28EC" w:rsidRDefault="00004C2E" w:rsidP="00FA28EC">
            <w:pPr>
              <w:spacing w:before="120" w:after="120"/>
              <w:jc w:val="center"/>
              <w:rPr>
                <w:b/>
              </w:rPr>
            </w:pPr>
            <w:r w:rsidRPr="00FA28EC">
              <w:rPr>
                <w:b/>
              </w:rPr>
              <w:t>12,7935</w:t>
            </w:r>
          </w:p>
        </w:tc>
      </w:tr>
    </w:tbl>
    <w:p w14:paraId="741ADE20" w14:textId="57678A2D" w:rsidR="00A147F9" w:rsidRDefault="00A147F9">
      <w:pPr>
        <w:spacing w:after="120"/>
        <w:jc w:val="both"/>
        <w:rPr>
          <w:rFonts w:cstheme="minorHAnsi"/>
          <w:b/>
          <w:bCs/>
        </w:rPr>
      </w:pPr>
    </w:p>
    <w:p w14:paraId="58A4BC9B" w14:textId="498D1066" w:rsidR="005F542D" w:rsidRDefault="005F542D">
      <w:pPr>
        <w:spacing w:after="12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3F7F52A7" w14:textId="77777777" w:rsidR="00D8748D" w:rsidRDefault="007E261F" w:rsidP="00D8748D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Таблица </w:t>
      </w:r>
      <w:r w:rsidR="00A147F9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. </w:t>
      </w:r>
    </w:p>
    <w:p w14:paraId="2034590A" w14:textId="08159845" w:rsidR="00213CBA" w:rsidRPr="00FA28EC" w:rsidRDefault="00213CBA" w:rsidP="00FA28EC">
      <w:pPr>
        <w:spacing w:after="360" w:line="240" w:lineRule="auto"/>
        <w:jc w:val="right"/>
      </w:pPr>
      <w:r w:rsidRPr="00FA28EC">
        <w:t>Минимальный прогнозный объем выручки Частного партнера за оказанные в соответствии с Соглашением Основные медицинские услуги за каждый календарный год Эксплуатации</w:t>
      </w:r>
    </w:p>
    <w:tbl>
      <w:tblPr>
        <w:tblStyle w:val="TableGrid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418"/>
        <w:gridCol w:w="2126"/>
        <w:gridCol w:w="1417"/>
      </w:tblGrid>
      <w:tr w:rsidR="0016464F" w:rsidRPr="00D727E5" w14:paraId="0E551084" w14:textId="77777777" w:rsidTr="005F542D">
        <w:tc>
          <w:tcPr>
            <w:tcW w:w="1134" w:type="dxa"/>
            <w:shd w:val="clear" w:color="auto" w:fill="E2EFD9" w:themeFill="accent6" w:themeFillTint="33"/>
          </w:tcPr>
          <w:p w14:paraId="425E22D7" w14:textId="77777777" w:rsidR="0041531C" w:rsidRPr="00D727E5" w:rsidRDefault="0041531C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27E5">
              <w:rPr>
                <w:rFonts w:ascii="Arial" w:hAnsi="Arial" w:cs="Arial"/>
                <w:b/>
                <w:sz w:val="18"/>
                <w:szCs w:val="18"/>
              </w:rPr>
              <w:t>Код КСГ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306B77C9" w14:textId="77777777" w:rsidR="0041531C" w:rsidRPr="00D727E5" w:rsidRDefault="0041531C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27E5">
              <w:rPr>
                <w:rFonts w:ascii="Arial" w:hAnsi="Arial" w:cs="Arial"/>
                <w:b/>
                <w:sz w:val="18"/>
                <w:szCs w:val="18"/>
              </w:rPr>
              <w:t>Наименование КСГ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E8D8216" w14:textId="77777777" w:rsidR="005F542D" w:rsidRDefault="0041531C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Количество с</w:t>
            </w:r>
            <w:r w:rsidRPr="00D727E5">
              <w:rPr>
                <w:rFonts w:ascii="Arial" w:hAnsi="Arial" w:cs="Arial"/>
                <w:b/>
                <w:sz w:val="18"/>
                <w:szCs w:val="18"/>
              </w:rPr>
              <w:t xml:space="preserve">лучаев </w:t>
            </w:r>
            <w:r>
              <w:rPr>
                <w:rFonts w:ascii="Arial" w:hAnsi="Arial" w:cs="Arial"/>
                <w:b/>
                <w:sz w:val="18"/>
                <w:szCs w:val="18"/>
              </w:rPr>
              <w:t>г</w:t>
            </w:r>
            <w:r w:rsidRPr="00D727E5">
              <w:rPr>
                <w:rFonts w:ascii="Arial" w:hAnsi="Arial" w:cs="Arial"/>
                <w:b/>
                <w:sz w:val="18"/>
                <w:szCs w:val="18"/>
              </w:rPr>
              <w:t>оспитализации</w:t>
            </w:r>
            <w:r w:rsidR="00EB2827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</w:p>
          <w:p w14:paraId="25DF2028" w14:textId="7BFF5C86" w:rsidR="0041531C" w:rsidRPr="00D727E5" w:rsidRDefault="00EB2827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28EC">
              <w:rPr>
                <w:rFonts w:ascii="Arial" w:hAnsi="Arial"/>
                <w:i/>
                <w:sz w:val="18"/>
              </w:rPr>
              <w:t>не менее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0B3E2C0" w14:textId="77777777" w:rsidR="005F542D" w:rsidRDefault="0041531C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27E5">
              <w:rPr>
                <w:rFonts w:ascii="Arial" w:hAnsi="Arial" w:cs="Arial"/>
                <w:b/>
                <w:sz w:val="18"/>
                <w:szCs w:val="18"/>
              </w:rPr>
              <w:t xml:space="preserve">Тариф </w:t>
            </w:r>
            <w:r w:rsidR="00906F37">
              <w:rPr>
                <w:rFonts w:ascii="Arial" w:hAnsi="Arial" w:cs="Arial"/>
                <w:b/>
                <w:sz w:val="18"/>
                <w:szCs w:val="18"/>
              </w:rPr>
              <w:t>законченного случая</w:t>
            </w:r>
            <w:r w:rsidR="00CD4022">
              <w:rPr>
                <w:rFonts w:ascii="Arial" w:hAnsi="Arial" w:cs="Arial"/>
                <w:b/>
                <w:sz w:val="18"/>
                <w:szCs w:val="18"/>
              </w:rPr>
              <w:t xml:space="preserve"> (с учетом поправочных коэффициентов)</w:t>
            </w:r>
            <w:r w:rsidR="00EB2827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</w:p>
          <w:p w14:paraId="0E2AE75E" w14:textId="765D9F44" w:rsidR="0041531C" w:rsidRPr="00FA28EC" w:rsidRDefault="00EB2827" w:rsidP="00314DBD">
            <w:pPr>
              <w:spacing w:before="240" w:after="120"/>
              <w:jc w:val="center"/>
              <w:rPr>
                <w:rFonts w:ascii="Arial" w:hAnsi="Arial"/>
                <w:b/>
                <w:i/>
                <w:sz w:val="18"/>
              </w:rPr>
            </w:pPr>
            <w:r w:rsidRPr="00FA28EC">
              <w:rPr>
                <w:rFonts w:ascii="Arial" w:hAnsi="Arial"/>
                <w:i/>
                <w:sz w:val="18"/>
              </w:rPr>
              <w:t>не менее</w:t>
            </w:r>
          </w:p>
          <w:p w14:paraId="1EFAB9B9" w14:textId="77777777" w:rsidR="0041531C" w:rsidRPr="00D727E5" w:rsidRDefault="0041531C" w:rsidP="00314DBD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27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3B3A701" w14:textId="787E8A92" w:rsidR="0041531C" w:rsidRPr="00D727E5" w:rsidRDefault="005F542D" w:rsidP="00FA28EC">
            <w:pPr>
              <w:spacing w:before="24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Стоимость</w:t>
            </w:r>
            <w:r w:rsidR="00EB2827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1C55150C" w14:textId="62A53C9D" w:rsidR="0041531C" w:rsidRDefault="005F542D" w:rsidP="005F542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8EC">
              <w:rPr>
                <w:rFonts w:ascii="Arial" w:hAnsi="Arial"/>
                <w:sz w:val="18"/>
              </w:rPr>
              <w:t>р</w:t>
            </w:r>
            <w:r w:rsidR="0041531C" w:rsidRPr="00FA28EC">
              <w:rPr>
                <w:rFonts w:ascii="Arial" w:hAnsi="Arial"/>
                <w:sz w:val="18"/>
              </w:rPr>
              <w:t>ублей</w:t>
            </w:r>
          </w:p>
          <w:p w14:paraId="5E2EF506" w14:textId="77777777" w:rsidR="005F542D" w:rsidRDefault="005F542D" w:rsidP="005F542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1A9F10" w14:textId="671E1287" w:rsidR="005F542D" w:rsidRPr="00FA28EC" w:rsidRDefault="005F542D" w:rsidP="00FA28EC">
            <w:pPr>
              <w:spacing w:before="360" w:after="120"/>
              <w:jc w:val="center"/>
              <w:rPr>
                <w:rFonts w:ascii="Arial" w:hAnsi="Arial"/>
                <w:i/>
                <w:sz w:val="18"/>
              </w:rPr>
            </w:pPr>
            <w:r w:rsidRPr="005F542D">
              <w:rPr>
                <w:rFonts w:ascii="Arial" w:hAnsi="Arial" w:cs="Arial"/>
                <w:i/>
                <w:sz w:val="18"/>
                <w:szCs w:val="18"/>
              </w:rPr>
              <w:t>не менее</w:t>
            </w:r>
          </w:p>
        </w:tc>
      </w:tr>
      <w:tr w:rsidR="00CD4022" w:rsidRPr="00D727E5" w14:paraId="7D5D678C" w14:textId="77777777" w:rsidTr="00FA28EC">
        <w:tc>
          <w:tcPr>
            <w:tcW w:w="1134" w:type="dxa"/>
          </w:tcPr>
          <w:p w14:paraId="70675A69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14A">
              <w:rPr>
                <w:rFonts w:ascii="Arial" w:hAnsi="Arial" w:cs="Arial"/>
                <w:sz w:val="18"/>
                <w:szCs w:val="18"/>
              </w:rPr>
              <w:t>st37.005</w:t>
            </w:r>
          </w:p>
        </w:tc>
        <w:tc>
          <w:tcPr>
            <w:tcW w:w="2835" w:type="dxa"/>
          </w:tcPr>
          <w:p w14:paraId="480472C4" w14:textId="77777777" w:rsidR="0041531C" w:rsidRPr="00D727E5" w:rsidRDefault="0041531C" w:rsidP="00EB282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18" w:type="dxa"/>
          </w:tcPr>
          <w:p w14:paraId="6DB3B685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2126" w:type="dxa"/>
          </w:tcPr>
          <w:p w14:paraId="72F73B3B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34 989,74</w:t>
            </w:r>
          </w:p>
        </w:tc>
        <w:tc>
          <w:tcPr>
            <w:tcW w:w="1417" w:type="dxa"/>
          </w:tcPr>
          <w:p w14:paraId="11A83747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 xml:space="preserve">4 548 </w:t>
            </w:r>
            <w:r w:rsidRPr="003E614A">
              <w:rPr>
                <w:rFonts w:ascii="Arial" w:hAnsi="Arial" w:cs="Arial"/>
                <w:sz w:val="18"/>
                <w:szCs w:val="18"/>
              </w:rPr>
              <w:t>6</w:t>
            </w:r>
            <w:r w:rsidRPr="00D727E5">
              <w:rPr>
                <w:rFonts w:ascii="Arial" w:hAnsi="Arial" w:cs="Arial"/>
                <w:sz w:val="18"/>
                <w:szCs w:val="18"/>
              </w:rPr>
              <w:t>66,</w:t>
            </w:r>
            <w:r w:rsidRPr="003E614A">
              <w:rPr>
                <w:rFonts w:ascii="Arial" w:hAnsi="Arial" w:cs="Arial"/>
                <w:sz w:val="18"/>
                <w:szCs w:val="18"/>
              </w:rPr>
              <w:t>2</w:t>
            </w:r>
            <w:r w:rsidRPr="00D727E5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D4022" w:rsidRPr="00D727E5" w14:paraId="74AB940A" w14:textId="77777777" w:rsidTr="00FA28EC">
        <w:tc>
          <w:tcPr>
            <w:tcW w:w="1134" w:type="dxa"/>
          </w:tcPr>
          <w:p w14:paraId="035A4E04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14A">
              <w:rPr>
                <w:rFonts w:ascii="Arial" w:hAnsi="Arial" w:cs="Arial"/>
                <w:sz w:val="18"/>
                <w:szCs w:val="18"/>
              </w:rPr>
              <w:t>st37.006.2</w:t>
            </w:r>
          </w:p>
        </w:tc>
        <w:tc>
          <w:tcPr>
            <w:tcW w:w="2835" w:type="dxa"/>
          </w:tcPr>
          <w:p w14:paraId="3A6F8F26" w14:textId="77777777" w:rsidR="0041531C" w:rsidRPr="00D727E5" w:rsidRDefault="0041531C" w:rsidP="00EB282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 (Уровень 2)</w:t>
            </w:r>
          </w:p>
        </w:tc>
        <w:tc>
          <w:tcPr>
            <w:tcW w:w="1418" w:type="dxa"/>
          </w:tcPr>
          <w:p w14:paraId="64D37846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1230</w:t>
            </w:r>
          </w:p>
        </w:tc>
        <w:tc>
          <w:tcPr>
            <w:tcW w:w="2126" w:type="dxa"/>
          </w:tcPr>
          <w:p w14:paraId="3D1CA4B8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55 588,54</w:t>
            </w:r>
          </w:p>
        </w:tc>
        <w:tc>
          <w:tcPr>
            <w:tcW w:w="1417" w:type="dxa"/>
          </w:tcPr>
          <w:p w14:paraId="0EE7FB97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68 373 904,20</w:t>
            </w:r>
          </w:p>
        </w:tc>
      </w:tr>
      <w:tr w:rsidR="00CD4022" w:rsidRPr="00D727E5" w14:paraId="52B7EA81" w14:textId="77777777" w:rsidTr="00FA28EC">
        <w:tc>
          <w:tcPr>
            <w:tcW w:w="1134" w:type="dxa"/>
          </w:tcPr>
          <w:p w14:paraId="755B28B5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14A">
              <w:rPr>
                <w:rFonts w:ascii="Arial" w:hAnsi="Arial" w:cs="Arial"/>
                <w:sz w:val="18"/>
                <w:szCs w:val="18"/>
              </w:rPr>
              <w:t>st37.007</w:t>
            </w:r>
          </w:p>
        </w:tc>
        <w:tc>
          <w:tcPr>
            <w:tcW w:w="2835" w:type="dxa"/>
          </w:tcPr>
          <w:p w14:paraId="4535A94E" w14:textId="77777777" w:rsidR="0041531C" w:rsidRPr="00D727E5" w:rsidRDefault="0041531C" w:rsidP="00EB282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418" w:type="dxa"/>
          </w:tcPr>
          <w:p w14:paraId="36ACF16C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</w:tcPr>
          <w:p w14:paraId="3003F8ED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85 499,12</w:t>
            </w:r>
          </w:p>
        </w:tc>
        <w:tc>
          <w:tcPr>
            <w:tcW w:w="1417" w:type="dxa"/>
          </w:tcPr>
          <w:p w14:paraId="23717590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25 649 736,00</w:t>
            </w:r>
          </w:p>
        </w:tc>
      </w:tr>
      <w:tr w:rsidR="00CD4022" w:rsidRPr="00D727E5" w14:paraId="1128CABF" w14:textId="77777777" w:rsidTr="00FA28EC">
        <w:tc>
          <w:tcPr>
            <w:tcW w:w="1134" w:type="dxa"/>
          </w:tcPr>
          <w:p w14:paraId="74AC44DB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14A">
              <w:rPr>
                <w:rFonts w:ascii="Arial" w:hAnsi="Arial" w:cs="Arial"/>
                <w:sz w:val="18"/>
                <w:szCs w:val="18"/>
              </w:rPr>
              <w:t>st37.001.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0FDA7847" w14:textId="77777777" w:rsidR="0041531C" w:rsidRPr="00D727E5" w:rsidRDefault="0041531C" w:rsidP="00EB282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Медицинская реабилитация пациентов с заболеваниями центральной нервной системы (3 балла по ШРМ) (Уровень 2)</w:t>
            </w:r>
          </w:p>
        </w:tc>
        <w:tc>
          <w:tcPr>
            <w:tcW w:w="1418" w:type="dxa"/>
          </w:tcPr>
          <w:p w14:paraId="4B44F2DD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126" w:type="dxa"/>
          </w:tcPr>
          <w:p w14:paraId="5E4935CD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43 737,18</w:t>
            </w:r>
          </w:p>
        </w:tc>
        <w:tc>
          <w:tcPr>
            <w:tcW w:w="1417" w:type="dxa"/>
          </w:tcPr>
          <w:p w14:paraId="39A1D9AE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6 560 577,00</w:t>
            </w:r>
          </w:p>
        </w:tc>
      </w:tr>
      <w:tr w:rsidR="00CD4022" w:rsidRPr="00D727E5" w14:paraId="74C4768D" w14:textId="77777777" w:rsidTr="00FA28EC">
        <w:tc>
          <w:tcPr>
            <w:tcW w:w="1134" w:type="dxa"/>
          </w:tcPr>
          <w:p w14:paraId="64F6AF64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14A">
              <w:rPr>
                <w:rFonts w:ascii="Arial" w:hAnsi="Arial" w:cs="Arial"/>
                <w:sz w:val="18"/>
                <w:szCs w:val="18"/>
              </w:rPr>
              <w:t>st37.00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E614A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2835" w:type="dxa"/>
          </w:tcPr>
          <w:p w14:paraId="66B37D65" w14:textId="77777777" w:rsidR="0041531C" w:rsidRPr="00D727E5" w:rsidRDefault="0041531C" w:rsidP="00EB282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Медицинская реабилитация пациентов с заболеваниями центральной нервной системы (4 балла по ШРМ) (Уровень 2)</w:t>
            </w:r>
          </w:p>
        </w:tc>
        <w:tc>
          <w:tcPr>
            <w:tcW w:w="1418" w:type="dxa"/>
          </w:tcPr>
          <w:p w14:paraId="0EDE8561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1050</w:t>
            </w:r>
          </w:p>
        </w:tc>
        <w:tc>
          <w:tcPr>
            <w:tcW w:w="2126" w:type="dxa"/>
          </w:tcPr>
          <w:p w14:paraId="2EC57830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60 667,69</w:t>
            </w:r>
          </w:p>
        </w:tc>
        <w:tc>
          <w:tcPr>
            <w:tcW w:w="1417" w:type="dxa"/>
          </w:tcPr>
          <w:p w14:paraId="68A09D6E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63 701 074,50</w:t>
            </w:r>
          </w:p>
        </w:tc>
      </w:tr>
      <w:tr w:rsidR="00CD4022" w:rsidRPr="00D727E5" w14:paraId="7D9C9AC0" w14:textId="77777777" w:rsidTr="00FA28EC">
        <w:tc>
          <w:tcPr>
            <w:tcW w:w="1134" w:type="dxa"/>
          </w:tcPr>
          <w:p w14:paraId="3004E726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14A">
              <w:rPr>
                <w:rFonts w:ascii="Arial" w:hAnsi="Arial" w:cs="Arial"/>
                <w:sz w:val="18"/>
                <w:szCs w:val="18"/>
              </w:rPr>
              <w:t>st37.00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E614A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724743F" w14:textId="77777777" w:rsidR="0041531C" w:rsidRPr="00D727E5" w:rsidRDefault="0041531C" w:rsidP="00EB282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Медицинская реабилитация пациентов с заболеваниями центральной нервной системы (5 баллов по ШРМ) (Уровень 2)</w:t>
            </w:r>
          </w:p>
        </w:tc>
        <w:tc>
          <w:tcPr>
            <w:tcW w:w="1418" w:type="dxa"/>
          </w:tcPr>
          <w:p w14:paraId="5C8C6DC0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</w:tcPr>
          <w:p w14:paraId="53096E55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103 840,52</w:t>
            </w:r>
          </w:p>
        </w:tc>
        <w:tc>
          <w:tcPr>
            <w:tcW w:w="1417" w:type="dxa"/>
          </w:tcPr>
          <w:p w14:paraId="2BDAA299" w14:textId="77777777" w:rsidR="0041531C" w:rsidRPr="00D727E5" w:rsidRDefault="0041531C" w:rsidP="00314DB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E5">
              <w:rPr>
                <w:rFonts w:ascii="Arial" w:hAnsi="Arial" w:cs="Arial"/>
                <w:sz w:val="18"/>
                <w:szCs w:val="18"/>
              </w:rPr>
              <w:t>31 152 156,00</w:t>
            </w:r>
          </w:p>
        </w:tc>
      </w:tr>
      <w:tr w:rsidR="00EB2827" w:rsidRPr="00D727E5" w14:paraId="362DBB63" w14:textId="77777777" w:rsidTr="00FA28EC"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4E15367A" w14:textId="19A34BAF" w:rsidR="00EB2827" w:rsidRPr="005F542D" w:rsidRDefault="00EB2827" w:rsidP="00FA28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28EC">
              <w:rPr>
                <w:b/>
              </w:rPr>
              <w:t>Всего по всем КСГ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D7C09C" w14:textId="77777777" w:rsidR="00EB2827" w:rsidRPr="00FA28EC" w:rsidRDefault="00EB2827" w:rsidP="00FA28EC">
            <w:pPr>
              <w:spacing w:before="120" w:after="120"/>
              <w:jc w:val="center"/>
              <w:rPr>
                <w:rFonts w:ascii="Arial" w:hAnsi="Arial"/>
                <w:b/>
                <w:sz w:val="18"/>
              </w:rPr>
            </w:pPr>
            <w:r w:rsidRPr="00FA28EC">
              <w:rPr>
                <w:rFonts w:ascii="Arial" w:hAnsi="Arial"/>
                <w:b/>
                <w:sz w:val="18"/>
              </w:rPr>
              <w:t>3160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7562D69" w14:textId="77777777" w:rsidR="00EB2827" w:rsidRPr="00FA28EC" w:rsidRDefault="00EB2827" w:rsidP="00314DBD">
            <w:pPr>
              <w:spacing w:after="120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18E59E" w14:textId="77777777" w:rsidR="00EB2827" w:rsidRPr="00FA28EC" w:rsidRDefault="00EB2827" w:rsidP="00314DBD">
            <w:pPr>
              <w:spacing w:after="120"/>
              <w:jc w:val="center"/>
              <w:rPr>
                <w:rFonts w:ascii="Arial" w:hAnsi="Arial"/>
                <w:b/>
                <w:sz w:val="18"/>
              </w:rPr>
            </w:pPr>
            <w:r w:rsidRPr="00FA28EC">
              <w:rPr>
                <w:rFonts w:ascii="Arial" w:hAnsi="Arial"/>
                <w:b/>
                <w:sz w:val="18"/>
              </w:rPr>
              <w:t xml:space="preserve">199 </w:t>
            </w:r>
            <w:r w:rsidRPr="00FA28EC">
              <w:rPr>
                <w:rFonts w:ascii="Arial" w:hAnsi="Arial"/>
                <w:b/>
                <w:sz w:val="18"/>
                <w:lang w:val="en-US"/>
              </w:rPr>
              <w:t>986</w:t>
            </w:r>
            <w:r w:rsidRPr="00FA28EC">
              <w:rPr>
                <w:rFonts w:ascii="Arial" w:hAnsi="Arial"/>
                <w:b/>
                <w:sz w:val="18"/>
              </w:rPr>
              <w:t xml:space="preserve"> </w:t>
            </w:r>
            <w:r w:rsidRPr="00FA28EC">
              <w:rPr>
                <w:rFonts w:ascii="Arial" w:hAnsi="Arial"/>
                <w:b/>
                <w:sz w:val="18"/>
                <w:lang w:val="en-US"/>
              </w:rPr>
              <w:t>113</w:t>
            </w:r>
            <w:r w:rsidRPr="00FA28EC">
              <w:rPr>
                <w:rFonts w:ascii="Arial" w:hAnsi="Arial"/>
                <w:b/>
                <w:sz w:val="18"/>
              </w:rPr>
              <w:t>,</w:t>
            </w:r>
            <w:r w:rsidRPr="00FA28EC">
              <w:rPr>
                <w:rFonts w:ascii="Arial" w:hAnsi="Arial"/>
                <w:b/>
                <w:sz w:val="18"/>
                <w:lang w:val="en-US"/>
              </w:rPr>
              <w:t>9</w:t>
            </w:r>
            <w:r w:rsidRPr="00FA28EC">
              <w:rPr>
                <w:rFonts w:ascii="Arial" w:hAnsi="Arial"/>
                <w:b/>
                <w:sz w:val="18"/>
              </w:rPr>
              <w:t>0</w:t>
            </w:r>
          </w:p>
        </w:tc>
      </w:tr>
    </w:tbl>
    <w:p w14:paraId="3BDC0D04" w14:textId="0F325FEA" w:rsidR="007E261F" w:rsidRDefault="007E261F">
      <w:pPr>
        <w:spacing w:after="120"/>
        <w:jc w:val="both"/>
        <w:rPr>
          <w:rFonts w:cstheme="minorHAnsi"/>
          <w:b/>
          <w:bCs/>
        </w:rPr>
      </w:pPr>
    </w:p>
    <w:p w14:paraId="1A963EDF" w14:textId="0EFDEA4B" w:rsidR="00FC5B4A" w:rsidRDefault="00FC5B4A">
      <w:pPr>
        <w:spacing w:after="120"/>
        <w:jc w:val="both"/>
        <w:rPr>
          <w:rFonts w:cstheme="minorHAnsi"/>
          <w:b/>
          <w:bCs/>
        </w:rPr>
      </w:pPr>
    </w:p>
    <w:p w14:paraId="3E11F126" w14:textId="0AD48F5F" w:rsidR="00FC5B4A" w:rsidRDefault="00FC5B4A">
      <w:pPr>
        <w:spacing w:after="120"/>
        <w:jc w:val="both"/>
        <w:rPr>
          <w:rFonts w:cstheme="minorHAnsi"/>
          <w:b/>
          <w:bCs/>
        </w:rPr>
      </w:pPr>
    </w:p>
    <w:p w14:paraId="2E0FB120" w14:textId="0120D12E" w:rsidR="00FC5B4A" w:rsidRDefault="00FC5B4A">
      <w:pPr>
        <w:spacing w:after="120"/>
        <w:jc w:val="both"/>
        <w:rPr>
          <w:rFonts w:cstheme="minorHAnsi"/>
          <w:b/>
          <w:bCs/>
        </w:rPr>
      </w:pPr>
    </w:p>
    <w:tbl>
      <w:tblPr>
        <w:tblW w:w="9334" w:type="dxa"/>
        <w:tblInd w:w="-46" w:type="dxa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115"/>
        <w:gridCol w:w="6914"/>
        <w:gridCol w:w="2305"/>
      </w:tblGrid>
      <w:tr w:rsidR="00FC5B4A" w:rsidRPr="009C200F" w14:paraId="50DA3D96" w14:textId="77777777" w:rsidTr="00BA1A41">
        <w:tc>
          <w:tcPr>
            <w:tcW w:w="115" w:type="dxa"/>
          </w:tcPr>
          <w:p w14:paraId="3CDD2635" w14:textId="77777777" w:rsidR="00FC5B4A" w:rsidRPr="000D17E2" w:rsidRDefault="00FC5B4A" w:rsidP="00BA1A41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</w:p>
        </w:tc>
        <w:tc>
          <w:tcPr>
            <w:tcW w:w="6914" w:type="dxa"/>
          </w:tcPr>
          <w:p w14:paraId="0B0F968D" w14:textId="77777777" w:rsidR="00FC5B4A" w:rsidRPr="000D17E2" w:rsidRDefault="00FC5B4A" w:rsidP="00BA1A41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>Подписи Сторон:</w:t>
            </w:r>
          </w:p>
          <w:p w14:paraId="700F43C9" w14:textId="77777777" w:rsidR="00FC5B4A" w:rsidRPr="000D17E2" w:rsidRDefault="00FC5B4A" w:rsidP="00BA1A41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 xml:space="preserve">От </w:t>
            </w:r>
            <w:r>
              <w:rPr>
                <w:rFonts w:cstheme="majorHAnsi"/>
                <w:sz w:val="22"/>
                <w:szCs w:val="22"/>
              </w:rPr>
              <w:t>Публичного партнера</w:t>
            </w:r>
            <w:r w:rsidRPr="000D17E2">
              <w:rPr>
                <w:rFonts w:cstheme="majorHAnsi"/>
                <w:sz w:val="22"/>
                <w:szCs w:val="22"/>
              </w:rPr>
              <w:t>:</w:t>
            </w:r>
          </w:p>
          <w:p w14:paraId="14A86870" w14:textId="77777777" w:rsidR="00FC5B4A" w:rsidRPr="000D17E2" w:rsidRDefault="00FC5B4A" w:rsidP="00BA1A41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>[●]</w:t>
            </w:r>
          </w:p>
          <w:p w14:paraId="1BBB5241" w14:textId="77777777" w:rsidR="00FC5B4A" w:rsidRPr="000D17E2" w:rsidRDefault="00FC5B4A" w:rsidP="00BA1A41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</w:p>
          <w:p w14:paraId="7C4F389D" w14:textId="77777777" w:rsidR="00FC5B4A" w:rsidRPr="000D17E2" w:rsidRDefault="00FC5B4A" w:rsidP="00BA1A41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>________________________ /[●]/</w:t>
            </w:r>
          </w:p>
        </w:tc>
        <w:tc>
          <w:tcPr>
            <w:tcW w:w="2305" w:type="dxa"/>
          </w:tcPr>
          <w:p w14:paraId="063BD74D" w14:textId="77777777" w:rsidR="00FC5B4A" w:rsidRPr="009C200F" w:rsidRDefault="00FC5B4A" w:rsidP="00BA1A41">
            <w:pPr>
              <w:jc w:val="right"/>
              <w:rPr>
                <w:rFonts w:cs="Arial"/>
              </w:rPr>
            </w:pPr>
          </w:p>
          <w:p w14:paraId="40BF469E" w14:textId="77777777" w:rsidR="00FC5B4A" w:rsidRPr="009C200F" w:rsidRDefault="00FC5B4A" w:rsidP="00BA1A41">
            <w:pPr>
              <w:jc w:val="right"/>
              <w:rPr>
                <w:rFonts w:cs="Arial"/>
              </w:rPr>
            </w:pPr>
          </w:p>
          <w:p w14:paraId="0504E43C" w14:textId="77777777" w:rsidR="00FC5B4A" w:rsidRPr="009C200F" w:rsidRDefault="00FC5B4A" w:rsidP="00BA1A41">
            <w:pPr>
              <w:jc w:val="right"/>
              <w:rPr>
                <w:rFonts w:cs="Arial"/>
              </w:rPr>
            </w:pPr>
          </w:p>
          <w:p w14:paraId="27B47431" w14:textId="77777777" w:rsidR="00FC5B4A" w:rsidRPr="009C200F" w:rsidRDefault="00FC5B4A" w:rsidP="00BA1A41">
            <w:pPr>
              <w:jc w:val="right"/>
              <w:rPr>
                <w:rFonts w:cs="Arial"/>
              </w:rPr>
            </w:pPr>
          </w:p>
        </w:tc>
      </w:tr>
      <w:tr w:rsidR="00FC5B4A" w:rsidRPr="009C200F" w14:paraId="11DB2825" w14:textId="77777777" w:rsidTr="00BA1A41">
        <w:tc>
          <w:tcPr>
            <w:tcW w:w="115" w:type="dxa"/>
          </w:tcPr>
          <w:p w14:paraId="5F798FC3" w14:textId="77777777" w:rsidR="00FC5B4A" w:rsidRPr="009C200F" w:rsidRDefault="00FC5B4A" w:rsidP="00BA1A41">
            <w:pPr>
              <w:rPr>
                <w:rFonts w:cs="Arial"/>
              </w:rPr>
            </w:pPr>
          </w:p>
        </w:tc>
        <w:tc>
          <w:tcPr>
            <w:tcW w:w="6914" w:type="dxa"/>
          </w:tcPr>
          <w:p w14:paraId="558D17BC" w14:textId="77777777" w:rsidR="00FC5B4A" w:rsidRPr="009C200F" w:rsidRDefault="00FC5B4A" w:rsidP="00BA1A41">
            <w:pPr>
              <w:rPr>
                <w:rFonts w:cs="Arial"/>
              </w:rPr>
            </w:pPr>
          </w:p>
        </w:tc>
        <w:tc>
          <w:tcPr>
            <w:tcW w:w="2305" w:type="dxa"/>
          </w:tcPr>
          <w:p w14:paraId="20D476B8" w14:textId="77777777" w:rsidR="00FC5B4A" w:rsidRPr="009C200F" w:rsidRDefault="00FC5B4A" w:rsidP="00BA1A41">
            <w:pPr>
              <w:jc w:val="right"/>
              <w:rPr>
                <w:rFonts w:cs="Arial"/>
              </w:rPr>
            </w:pPr>
          </w:p>
        </w:tc>
      </w:tr>
    </w:tbl>
    <w:p w14:paraId="1F9FC8DE" w14:textId="77777777" w:rsidR="00FC5B4A" w:rsidRPr="009C200F" w:rsidRDefault="00FC5B4A" w:rsidP="00FC5B4A">
      <w:pPr>
        <w:rPr>
          <w:rFonts w:cs="Arial"/>
        </w:rPr>
      </w:pPr>
    </w:p>
    <w:tbl>
      <w:tblPr>
        <w:tblW w:w="0" w:type="auto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57"/>
        <w:gridCol w:w="4479"/>
        <w:gridCol w:w="1134"/>
      </w:tblGrid>
      <w:tr w:rsidR="00FC5B4A" w:rsidRPr="009C200F" w14:paraId="377F7CF6" w14:textId="77777777" w:rsidTr="00EB7332">
        <w:trPr>
          <w:trHeight w:val="596"/>
        </w:trPr>
        <w:tc>
          <w:tcPr>
            <w:tcW w:w="57" w:type="dxa"/>
          </w:tcPr>
          <w:p w14:paraId="4FE9B3AE" w14:textId="77777777" w:rsidR="00FC5B4A" w:rsidRPr="009C200F" w:rsidRDefault="00FC5B4A" w:rsidP="00BA1A41">
            <w:pPr>
              <w:rPr>
                <w:rFonts w:cs="Arial"/>
              </w:rPr>
            </w:pPr>
          </w:p>
        </w:tc>
        <w:tc>
          <w:tcPr>
            <w:tcW w:w="4479" w:type="dxa"/>
          </w:tcPr>
          <w:p w14:paraId="539EFB8B" w14:textId="77777777" w:rsidR="00FC5B4A" w:rsidRPr="000D17E2" w:rsidRDefault="00FC5B4A" w:rsidP="00BA1A41">
            <w:pPr>
              <w:pStyle w:val="Heading1"/>
              <w:keepNext w:val="0"/>
              <w:keepLines w:val="0"/>
              <w:spacing w:after="0"/>
              <w:jc w:val="both"/>
              <w:rPr>
                <w:rFonts w:cstheme="majorHAnsi"/>
                <w:bCs/>
                <w:sz w:val="22"/>
                <w:szCs w:val="22"/>
                <w:lang w:eastAsia="ru-RU"/>
              </w:rPr>
            </w:pPr>
            <w:r w:rsidRPr="000D17E2">
              <w:rPr>
                <w:rFonts w:cstheme="majorHAnsi"/>
                <w:sz w:val="22"/>
                <w:szCs w:val="22"/>
              </w:rPr>
              <w:t xml:space="preserve">От </w:t>
            </w:r>
            <w:r>
              <w:rPr>
                <w:rFonts w:cstheme="majorHAnsi"/>
                <w:sz w:val="22"/>
                <w:szCs w:val="22"/>
              </w:rPr>
              <w:t>Частного партнера</w:t>
            </w:r>
            <w:r w:rsidRPr="000D17E2">
              <w:rPr>
                <w:rFonts w:cstheme="majorHAnsi"/>
                <w:sz w:val="22"/>
                <w:szCs w:val="22"/>
              </w:rPr>
              <w:t>:</w:t>
            </w:r>
          </w:p>
          <w:p w14:paraId="754DA939" w14:textId="77777777" w:rsidR="00EB7332" w:rsidRPr="00A053DE" w:rsidRDefault="00EB7332" w:rsidP="00EB7332">
            <w:pPr>
              <w:spacing w:after="0"/>
              <w:rPr>
                <w:rFonts w:asciiTheme="majorHAnsi" w:hAnsiTheme="majorHAnsi" w:cstheme="majorHAnsi"/>
              </w:rPr>
            </w:pPr>
            <w:r w:rsidRPr="00A053DE">
              <w:rPr>
                <w:rFonts w:asciiTheme="majorHAnsi" w:hAnsiTheme="majorHAnsi" w:cstheme="majorHAnsi"/>
              </w:rPr>
              <w:t>Общество с ограниченной ответственностью «</w:t>
            </w:r>
            <w:proofErr w:type="spellStart"/>
            <w:r w:rsidRPr="00A053DE">
              <w:rPr>
                <w:rFonts w:asciiTheme="majorHAnsi" w:hAnsiTheme="majorHAnsi" w:cstheme="majorHAnsi"/>
              </w:rPr>
              <w:t>ПремиумСтрой</w:t>
            </w:r>
            <w:proofErr w:type="spellEnd"/>
            <w:r w:rsidRPr="00A053DE">
              <w:rPr>
                <w:rFonts w:asciiTheme="majorHAnsi" w:hAnsiTheme="majorHAnsi" w:cstheme="majorHAnsi"/>
              </w:rPr>
              <w:t>-Инвест»</w:t>
            </w:r>
          </w:p>
          <w:p w14:paraId="1AC2FB57" w14:textId="77777777" w:rsidR="00FC5B4A" w:rsidRDefault="00FC5B4A" w:rsidP="00BA1A41">
            <w:pPr>
              <w:spacing w:after="0"/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</w:pPr>
          </w:p>
          <w:p w14:paraId="17844B6F" w14:textId="77777777" w:rsidR="00EB7332" w:rsidRDefault="00EB7332" w:rsidP="00BA1A41">
            <w:pPr>
              <w:spacing w:after="0"/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</w:pPr>
          </w:p>
          <w:p w14:paraId="1524DB77" w14:textId="3E4FD3FC" w:rsidR="00EB7332" w:rsidRPr="000D17E2" w:rsidRDefault="00EB7332" w:rsidP="00BA1A41">
            <w:pPr>
              <w:spacing w:after="0"/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</w:pPr>
          </w:p>
        </w:tc>
        <w:tc>
          <w:tcPr>
            <w:tcW w:w="1134" w:type="dxa"/>
          </w:tcPr>
          <w:p w14:paraId="42042126" w14:textId="77777777" w:rsidR="00FC5B4A" w:rsidRPr="009C200F" w:rsidRDefault="00FC5B4A" w:rsidP="00BA1A41">
            <w:pPr>
              <w:spacing w:after="0"/>
              <w:jc w:val="right"/>
              <w:rPr>
                <w:rFonts w:cs="Arial"/>
              </w:rPr>
            </w:pPr>
          </w:p>
          <w:p w14:paraId="33787C22" w14:textId="77777777" w:rsidR="00FC5B4A" w:rsidRPr="009C200F" w:rsidRDefault="00FC5B4A" w:rsidP="00BA1A41">
            <w:pPr>
              <w:spacing w:after="0"/>
              <w:jc w:val="right"/>
              <w:rPr>
                <w:rFonts w:cs="Arial"/>
              </w:rPr>
            </w:pPr>
          </w:p>
          <w:p w14:paraId="303EE936" w14:textId="77777777" w:rsidR="00FC5B4A" w:rsidRPr="009C200F" w:rsidRDefault="00FC5B4A" w:rsidP="00BA1A41">
            <w:pPr>
              <w:spacing w:after="0"/>
              <w:jc w:val="right"/>
              <w:rPr>
                <w:rFonts w:cs="Arial"/>
              </w:rPr>
            </w:pPr>
          </w:p>
          <w:p w14:paraId="788593AE" w14:textId="77777777" w:rsidR="00FC5B4A" w:rsidRPr="009C200F" w:rsidRDefault="00FC5B4A" w:rsidP="00BA1A41">
            <w:pPr>
              <w:spacing w:after="0"/>
              <w:jc w:val="right"/>
              <w:rPr>
                <w:rFonts w:cs="Arial"/>
              </w:rPr>
            </w:pPr>
          </w:p>
        </w:tc>
      </w:tr>
      <w:tr w:rsidR="00FC5B4A" w:rsidRPr="009C200F" w14:paraId="1090CFFD" w14:textId="77777777" w:rsidTr="00EB7332">
        <w:trPr>
          <w:trHeight w:val="65"/>
        </w:trPr>
        <w:tc>
          <w:tcPr>
            <w:tcW w:w="57" w:type="dxa"/>
          </w:tcPr>
          <w:p w14:paraId="30E9C1DC" w14:textId="77777777" w:rsidR="00FC5B4A" w:rsidRPr="009C200F" w:rsidRDefault="00FC5B4A" w:rsidP="00BA1A41">
            <w:pPr>
              <w:rPr>
                <w:rFonts w:cs="Arial"/>
              </w:rPr>
            </w:pPr>
          </w:p>
        </w:tc>
        <w:tc>
          <w:tcPr>
            <w:tcW w:w="4479" w:type="dxa"/>
          </w:tcPr>
          <w:p w14:paraId="12BEDC42" w14:textId="77777777" w:rsidR="00FC5B4A" w:rsidRPr="000D17E2" w:rsidRDefault="00FC5B4A" w:rsidP="00BA1A41">
            <w:pPr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</w:pPr>
            <w:r w:rsidRPr="000D17E2"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  <w:t>_______________________ /[●]/</w:t>
            </w:r>
          </w:p>
        </w:tc>
        <w:tc>
          <w:tcPr>
            <w:tcW w:w="1134" w:type="dxa"/>
          </w:tcPr>
          <w:p w14:paraId="3F148075" w14:textId="77777777" w:rsidR="00FC5B4A" w:rsidRPr="009C200F" w:rsidRDefault="00FC5B4A" w:rsidP="00BA1A41">
            <w:pPr>
              <w:jc w:val="right"/>
              <w:rPr>
                <w:rFonts w:cs="Arial"/>
              </w:rPr>
            </w:pPr>
          </w:p>
        </w:tc>
      </w:tr>
    </w:tbl>
    <w:p w14:paraId="2F8E5341" w14:textId="77777777" w:rsidR="00FC5B4A" w:rsidRPr="003832BB" w:rsidRDefault="00FC5B4A">
      <w:pPr>
        <w:spacing w:after="120"/>
        <w:jc w:val="both"/>
        <w:rPr>
          <w:rFonts w:cstheme="minorHAnsi"/>
          <w:b/>
          <w:bCs/>
        </w:rPr>
      </w:pPr>
    </w:p>
    <w:sectPr w:rsidR="00FC5B4A" w:rsidRPr="003832BB"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A3DFA" w14:textId="77777777" w:rsidR="000314FD" w:rsidRDefault="000314FD" w:rsidP="00A53BBB">
      <w:pPr>
        <w:spacing w:after="0" w:line="240" w:lineRule="auto"/>
      </w:pPr>
      <w:r>
        <w:separator/>
      </w:r>
    </w:p>
  </w:endnote>
  <w:endnote w:type="continuationSeparator" w:id="0">
    <w:p w14:paraId="6081EA79" w14:textId="77777777" w:rsidR="000314FD" w:rsidRDefault="000314FD" w:rsidP="00A53BBB">
      <w:pPr>
        <w:spacing w:after="0" w:line="240" w:lineRule="auto"/>
      </w:pPr>
      <w:r>
        <w:continuationSeparator/>
      </w:r>
    </w:p>
  </w:endnote>
  <w:endnote w:type="continuationNotice" w:id="1">
    <w:p w14:paraId="5711EE85" w14:textId="77777777" w:rsidR="000314FD" w:rsidRDefault="00031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817871"/>
      <w:docPartObj>
        <w:docPartGallery w:val="Page Numbers (Bottom of Page)"/>
        <w:docPartUnique/>
      </w:docPartObj>
    </w:sdtPr>
    <w:sdtEndPr/>
    <w:sdtContent>
      <w:p w14:paraId="1B2030A4" w14:textId="7957BD7B" w:rsidR="00314DBD" w:rsidRDefault="00314DBD">
        <w:pPr>
          <w:pStyle w:val="Footer"/>
        </w:pPr>
        <w:r>
          <w:tab/>
          <w:t xml:space="preserve">-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3F5651">
          <w:rPr>
            <w:noProof/>
          </w:rPr>
          <w:t>14</w:t>
        </w:r>
        <w:r>
          <w:fldChar w:fldCharType="end"/>
        </w:r>
        <w: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0AEEB" w14:textId="77777777" w:rsidR="000314FD" w:rsidRDefault="000314FD" w:rsidP="00A53BBB">
      <w:pPr>
        <w:spacing w:after="0" w:line="240" w:lineRule="auto"/>
      </w:pPr>
      <w:r>
        <w:separator/>
      </w:r>
    </w:p>
  </w:footnote>
  <w:footnote w:type="continuationSeparator" w:id="0">
    <w:p w14:paraId="6590C800" w14:textId="77777777" w:rsidR="000314FD" w:rsidRDefault="000314FD" w:rsidP="00A53BBB">
      <w:pPr>
        <w:spacing w:after="0" w:line="240" w:lineRule="auto"/>
      </w:pPr>
      <w:r>
        <w:continuationSeparator/>
      </w:r>
    </w:p>
  </w:footnote>
  <w:footnote w:type="continuationNotice" w:id="1">
    <w:p w14:paraId="35E392EB" w14:textId="77777777" w:rsidR="000314FD" w:rsidRDefault="000314F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72829A"/>
    <w:lvl w:ilvl="0">
      <w:start w:val="1"/>
      <w:numFmt w:val="decimal"/>
      <w:pStyle w:val="ListNumber5"/>
      <w:lvlText w:val="%1."/>
      <w:lvlJc w:val="left"/>
      <w:pPr>
        <w:ind w:left="1800" w:hanging="360"/>
      </w:pPr>
    </w:lvl>
  </w:abstractNum>
  <w:abstractNum w:abstractNumId="1" w15:restartNumberingAfterBreak="0">
    <w:nsid w:val="FFFFFF7D"/>
    <w:multiLevelType w:val="singleLevel"/>
    <w:tmpl w:val="26166FE8"/>
    <w:lvl w:ilvl="0">
      <w:start w:val="1"/>
      <w:numFmt w:val="decimal"/>
      <w:pStyle w:val="ListNumber4"/>
      <w:lvlText w:val="%1."/>
      <w:lvlJc w:val="left"/>
      <w:pPr>
        <w:ind w:left="1440" w:hanging="360"/>
      </w:pPr>
    </w:lvl>
  </w:abstractNum>
  <w:abstractNum w:abstractNumId="2" w15:restartNumberingAfterBreak="0">
    <w:nsid w:val="FFFFFF7E"/>
    <w:multiLevelType w:val="singleLevel"/>
    <w:tmpl w:val="EAB0F540"/>
    <w:lvl w:ilvl="0">
      <w:start w:val="1"/>
      <w:numFmt w:val="decimal"/>
      <w:pStyle w:val="ListNumber3"/>
      <w:lvlText w:val="%1."/>
      <w:lvlJc w:val="left"/>
      <w:pPr>
        <w:ind w:left="1080" w:hanging="360"/>
      </w:pPr>
    </w:lvl>
  </w:abstractNum>
  <w:abstractNum w:abstractNumId="3" w15:restartNumberingAfterBreak="0">
    <w:nsid w:val="FFFFFF7F"/>
    <w:multiLevelType w:val="singleLevel"/>
    <w:tmpl w:val="6ACC87B6"/>
    <w:lvl w:ilvl="0">
      <w:start w:val="1"/>
      <w:numFmt w:val="decimal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A126B70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820802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8E0854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223520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66B572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2976044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D1C9A"/>
    <w:multiLevelType w:val="multilevel"/>
    <w:tmpl w:val="ECB0A4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03CD7171"/>
    <w:multiLevelType w:val="multilevel"/>
    <w:tmpl w:val="F15ACDF2"/>
    <w:lvl w:ilvl="0">
      <w:start w:val="1"/>
      <w:numFmt w:val="decimal"/>
      <w:lvlText w:val="3.%1."/>
      <w:lvlJc w:val="left"/>
      <w:pPr>
        <w:ind w:left="61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C614CB"/>
    <w:multiLevelType w:val="multilevel"/>
    <w:tmpl w:val="E2B4D2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CC20256"/>
    <w:multiLevelType w:val="hybridMultilevel"/>
    <w:tmpl w:val="AEA09F50"/>
    <w:lvl w:ilvl="0" w:tplc="2CCAB82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81B56"/>
    <w:multiLevelType w:val="multilevel"/>
    <w:tmpl w:val="C9740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BFC0228"/>
    <w:multiLevelType w:val="multilevel"/>
    <w:tmpl w:val="F15ACDF2"/>
    <w:lvl w:ilvl="0">
      <w:start w:val="1"/>
      <w:numFmt w:val="decimal"/>
      <w:lvlText w:val="3.%1."/>
      <w:lvlJc w:val="left"/>
      <w:pPr>
        <w:ind w:left="61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C86931"/>
    <w:multiLevelType w:val="multilevel"/>
    <w:tmpl w:val="F15ACDF2"/>
    <w:lvl w:ilvl="0">
      <w:start w:val="1"/>
      <w:numFmt w:val="decimal"/>
      <w:lvlText w:val="3.%1."/>
      <w:lvlJc w:val="left"/>
      <w:pPr>
        <w:ind w:left="61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03122"/>
    <w:multiLevelType w:val="multilevel"/>
    <w:tmpl w:val="115C4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185172"/>
    <w:multiLevelType w:val="multilevel"/>
    <w:tmpl w:val="FA78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6195566E"/>
    <w:multiLevelType w:val="hybridMultilevel"/>
    <w:tmpl w:val="30360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60631"/>
    <w:multiLevelType w:val="multilevel"/>
    <w:tmpl w:val="500E7E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47954C0"/>
    <w:multiLevelType w:val="multilevel"/>
    <w:tmpl w:val="EB48B84A"/>
    <w:lvl w:ilvl="0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6C0952BC"/>
    <w:multiLevelType w:val="multilevel"/>
    <w:tmpl w:val="7B0043B4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2" w:hanging="5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6CAF4D29"/>
    <w:multiLevelType w:val="multilevel"/>
    <w:tmpl w:val="FA78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F7918F5"/>
    <w:multiLevelType w:val="multilevel"/>
    <w:tmpl w:val="FA78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24"/>
  </w:num>
  <w:num w:numId="13">
    <w:abstractNumId w:val="12"/>
  </w:num>
  <w:num w:numId="14">
    <w:abstractNumId w:val="16"/>
  </w:num>
  <w:num w:numId="15">
    <w:abstractNumId w:val="21"/>
  </w:num>
  <w:num w:numId="16">
    <w:abstractNumId w:val="23"/>
  </w:num>
  <w:num w:numId="17">
    <w:abstractNumId w:val="15"/>
  </w:num>
  <w:num w:numId="18">
    <w:abstractNumId w:val="20"/>
  </w:num>
  <w:num w:numId="19">
    <w:abstractNumId w:val="19"/>
  </w:num>
  <w:num w:numId="20">
    <w:abstractNumId w:val="17"/>
  </w:num>
  <w:num w:numId="21">
    <w:abstractNumId w:val="18"/>
  </w:num>
  <w:num w:numId="22">
    <w:abstractNumId w:val="22"/>
  </w:num>
  <w:num w:numId="23">
    <w:abstractNumId w:val="14"/>
  </w:num>
  <w:num w:numId="24">
    <w:abstractNumId w:val="10"/>
  </w:num>
  <w:num w:numId="25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69"/>
    <w:rsid w:val="00004C2E"/>
    <w:rsid w:val="00011213"/>
    <w:rsid w:val="00030122"/>
    <w:rsid w:val="000314FD"/>
    <w:rsid w:val="00035E45"/>
    <w:rsid w:val="000646DC"/>
    <w:rsid w:val="0007069B"/>
    <w:rsid w:val="000764A3"/>
    <w:rsid w:val="0008404B"/>
    <w:rsid w:val="000A5B4D"/>
    <w:rsid w:val="000A780C"/>
    <w:rsid w:val="000B4365"/>
    <w:rsid w:val="000B4972"/>
    <w:rsid w:val="000C0F71"/>
    <w:rsid w:val="000D1BC7"/>
    <w:rsid w:val="000D5A39"/>
    <w:rsid w:val="000E1A2E"/>
    <w:rsid w:val="000F13EC"/>
    <w:rsid w:val="00102277"/>
    <w:rsid w:val="001055FE"/>
    <w:rsid w:val="0010714E"/>
    <w:rsid w:val="001111C2"/>
    <w:rsid w:val="00111434"/>
    <w:rsid w:val="00124128"/>
    <w:rsid w:val="00127272"/>
    <w:rsid w:val="00131870"/>
    <w:rsid w:val="0013643C"/>
    <w:rsid w:val="00142013"/>
    <w:rsid w:val="001472BA"/>
    <w:rsid w:val="00150396"/>
    <w:rsid w:val="00161A81"/>
    <w:rsid w:val="00162163"/>
    <w:rsid w:val="0016464F"/>
    <w:rsid w:val="00165EBF"/>
    <w:rsid w:val="0016636A"/>
    <w:rsid w:val="001671EA"/>
    <w:rsid w:val="00186B49"/>
    <w:rsid w:val="00197522"/>
    <w:rsid w:val="001A1FE7"/>
    <w:rsid w:val="001D63DF"/>
    <w:rsid w:val="001D7C58"/>
    <w:rsid w:val="001F64A6"/>
    <w:rsid w:val="0020225E"/>
    <w:rsid w:val="00213CBA"/>
    <w:rsid w:val="002370FA"/>
    <w:rsid w:val="00241B19"/>
    <w:rsid w:val="00253D03"/>
    <w:rsid w:val="0025506B"/>
    <w:rsid w:val="00267146"/>
    <w:rsid w:val="0027741F"/>
    <w:rsid w:val="002828AA"/>
    <w:rsid w:val="002A07DF"/>
    <w:rsid w:val="002A384D"/>
    <w:rsid w:val="002A6B38"/>
    <w:rsid w:val="002D413F"/>
    <w:rsid w:val="002D61A6"/>
    <w:rsid w:val="002E561F"/>
    <w:rsid w:val="002F344E"/>
    <w:rsid w:val="00300C45"/>
    <w:rsid w:val="0031252E"/>
    <w:rsid w:val="00314DBD"/>
    <w:rsid w:val="0032148A"/>
    <w:rsid w:val="0032245C"/>
    <w:rsid w:val="003312FA"/>
    <w:rsid w:val="00332A9E"/>
    <w:rsid w:val="00352919"/>
    <w:rsid w:val="00353B95"/>
    <w:rsid w:val="0035639E"/>
    <w:rsid w:val="003667D4"/>
    <w:rsid w:val="00375682"/>
    <w:rsid w:val="003812C9"/>
    <w:rsid w:val="003832BB"/>
    <w:rsid w:val="003A0498"/>
    <w:rsid w:val="003A2200"/>
    <w:rsid w:val="003B715A"/>
    <w:rsid w:val="003C1FE1"/>
    <w:rsid w:val="003C5CBA"/>
    <w:rsid w:val="003D145D"/>
    <w:rsid w:val="003E614A"/>
    <w:rsid w:val="003F5651"/>
    <w:rsid w:val="00401038"/>
    <w:rsid w:val="004022ED"/>
    <w:rsid w:val="00403F9E"/>
    <w:rsid w:val="004108BE"/>
    <w:rsid w:val="0041531C"/>
    <w:rsid w:val="0042107F"/>
    <w:rsid w:val="00425A30"/>
    <w:rsid w:val="00464B85"/>
    <w:rsid w:val="004828F6"/>
    <w:rsid w:val="004A0F3C"/>
    <w:rsid w:val="004B552E"/>
    <w:rsid w:val="004B6994"/>
    <w:rsid w:val="004C758A"/>
    <w:rsid w:val="004C799E"/>
    <w:rsid w:val="004E192B"/>
    <w:rsid w:val="004E6F4C"/>
    <w:rsid w:val="00505F51"/>
    <w:rsid w:val="00513680"/>
    <w:rsid w:val="00521CDC"/>
    <w:rsid w:val="00525015"/>
    <w:rsid w:val="00531627"/>
    <w:rsid w:val="00543A52"/>
    <w:rsid w:val="005466A5"/>
    <w:rsid w:val="005539E4"/>
    <w:rsid w:val="00556991"/>
    <w:rsid w:val="0057593B"/>
    <w:rsid w:val="0058660D"/>
    <w:rsid w:val="00592F4D"/>
    <w:rsid w:val="00594C12"/>
    <w:rsid w:val="005B0A59"/>
    <w:rsid w:val="005C73A9"/>
    <w:rsid w:val="005D6605"/>
    <w:rsid w:val="005E0A8A"/>
    <w:rsid w:val="005E173F"/>
    <w:rsid w:val="005E3513"/>
    <w:rsid w:val="005F3B49"/>
    <w:rsid w:val="005F51F3"/>
    <w:rsid w:val="005F542D"/>
    <w:rsid w:val="00623081"/>
    <w:rsid w:val="00634857"/>
    <w:rsid w:val="00635DBE"/>
    <w:rsid w:val="00653BCE"/>
    <w:rsid w:val="006A02E2"/>
    <w:rsid w:val="006B0652"/>
    <w:rsid w:val="006C09F9"/>
    <w:rsid w:val="00703A64"/>
    <w:rsid w:val="00721201"/>
    <w:rsid w:val="00721DA4"/>
    <w:rsid w:val="00730AA9"/>
    <w:rsid w:val="00736E36"/>
    <w:rsid w:val="007408FA"/>
    <w:rsid w:val="00742290"/>
    <w:rsid w:val="007440FD"/>
    <w:rsid w:val="007543AD"/>
    <w:rsid w:val="00781DC8"/>
    <w:rsid w:val="0078354E"/>
    <w:rsid w:val="00787D1B"/>
    <w:rsid w:val="007A704C"/>
    <w:rsid w:val="007E261F"/>
    <w:rsid w:val="007E4AC7"/>
    <w:rsid w:val="007E5CD7"/>
    <w:rsid w:val="007F4F32"/>
    <w:rsid w:val="00811803"/>
    <w:rsid w:val="008170A1"/>
    <w:rsid w:val="0083310A"/>
    <w:rsid w:val="00843E6A"/>
    <w:rsid w:val="008525C5"/>
    <w:rsid w:val="00866EB9"/>
    <w:rsid w:val="008705E4"/>
    <w:rsid w:val="0087076A"/>
    <w:rsid w:val="00870DEE"/>
    <w:rsid w:val="00874042"/>
    <w:rsid w:val="0087700C"/>
    <w:rsid w:val="00877312"/>
    <w:rsid w:val="00884ACB"/>
    <w:rsid w:val="00890240"/>
    <w:rsid w:val="00890750"/>
    <w:rsid w:val="008924CB"/>
    <w:rsid w:val="008B5D9F"/>
    <w:rsid w:val="008C7D58"/>
    <w:rsid w:val="008D584D"/>
    <w:rsid w:val="008E0E73"/>
    <w:rsid w:val="00900653"/>
    <w:rsid w:val="00906F37"/>
    <w:rsid w:val="00907154"/>
    <w:rsid w:val="0091014D"/>
    <w:rsid w:val="00913610"/>
    <w:rsid w:val="00920A44"/>
    <w:rsid w:val="00942081"/>
    <w:rsid w:val="00954968"/>
    <w:rsid w:val="009A4D40"/>
    <w:rsid w:val="009C48DE"/>
    <w:rsid w:val="009D6E5A"/>
    <w:rsid w:val="009E279D"/>
    <w:rsid w:val="009F48D3"/>
    <w:rsid w:val="00A06F75"/>
    <w:rsid w:val="00A147F9"/>
    <w:rsid w:val="00A27B7F"/>
    <w:rsid w:val="00A53BBB"/>
    <w:rsid w:val="00A56006"/>
    <w:rsid w:val="00A67071"/>
    <w:rsid w:val="00A710B4"/>
    <w:rsid w:val="00A7428F"/>
    <w:rsid w:val="00A76087"/>
    <w:rsid w:val="00A836C8"/>
    <w:rsid w:val="00A96FF1"/>
    <w:rsid w:val="00AA045D"/>
    <w:rsid w:val="00AB022C"/>
    <w:rsid w:val="00AB3FCC"/>
    <w:rsid w:val="00AB5B69"/>
    <w:rsid w:val="00AD0E84"/>
    <w:rsid w:val="00AD49EA"/>
    <w:rsid w:val="00AE278D"/>
    <w:rsid w:val="00AE7DCF"/>
    <w:rsid w:val="00AF1958"/>
    <w:rsid w:val="00B00914"/>
    <w:rsid w:val="00B13A89"/>
    <w:rsid w:val="00B13E28"/>
    <w:rsid w:val="00B161E9"/>
    <w:rsid w:val="00B46122"/>
    <w:rsid w:val="00B52AB6"/>
    <w:rsid w:val="00B601B9"/>
    <w:rsid w:val="00B77491"/>
    <w:rsid w:val="00B80F2F"/>
    <w:rsid w:val="00BA1CB4"/>
    <w:rsid w:val="00BA6628"/>
    <w:rsid w:val="00BB1912"/>
    <w:rsid w:val="00BB379D"/>
    <w:rsid w:val="00BB3DE0"/>
    <w:rsid w:val="00BC636B"/>
    <w:rsid w:val="00BE2D63"/>
    <w:rsid w:val="00BE408F"/>
    <w:rsid w:val="00BF6A81"/>
    <w:rsid w:val="00C0303A"/>
    <w:rsid w:val="00C110F6"/>
    <w:rsid w:val="00C36A2C"/>
    <w:rsid w:val="00C40A15"/>
    <w:rsid w:val="00C50FAE"/>
    <w:rsid w:val="00C60B03"/>
    <w:rsid w:val="00C6134B"/>
    <w:rsid w:val="00C638F3"/>
    <w:rsid w:val="00C82536"/>
    <w:rsid w:val="00C94B87"/>
    <w:rsid w:val="00CA67C1"/>
    <w:rsid w:val="00CC27AD"/>
    <w:rsid w:val="00CC5203"/>
    <w:rsid w:val="00CD4022"/>
    <w:rsid w:val="00CE486E"/>
    <w:rsid w:val="00CF3085"/>
    <w:rsid w:val="00D05CB0"/>
    <w:rsid w:val="00D1248B"/>
    <w:rsid w:val="00D32C98"/>
    <w:rsid w:val="00D374AA"/>
    <w:rsid w:val="00D57DBE"/>
    <w:rsid w:val="00D714F8"/>
    <w:rsid w:val="00D727E5"/>
    <w:rsid w:val="00D85614"/>
    <w:rsid w:val="00D867BB"/>
    <w:rsid w:val="00D8748D"/>
    <w:rsid w:val="00D9018B"/>
    <w:rsid w:val="00D94966"/>
    <w:rsid w:val="00DA2623"/>
    <w:rsid w:val="00DA474B"/>
    <w:rsid w:val="00DD0E2C"/>
    <w:rsid w:val="00DD5251"/>
    <w:rsid w:val="00DE2B06"/>
    <w:rsid w:val="00DF31C4"/>
    <w:rsid w:val="00DF7ACB"/>
    <w:rsid w:val="00E1438E"/>
    <w:rsid w:val="00E41B00"/>
    <w:rsid w:val="00E46793"/>
    <w:rsid w:val="00E507BD"/>
    <w:rsid w:val="00E53DDF"/>
    <w:rsid w:val="00E53FD1"/>
    <w:rsid w:val="00E558DD"/>
    <w:rsid w:val="00E56A0F"/>
    <w:rsid w:val="00E67B6D"/>
    <w:rsid w:val="00E77E81"/>
    <w:rsid w:val="00EB2827"/>
    <w:rsid w:val="00EB628A"/>
    <w:rsid w:val="00EB7332"/>
    <w:rsid w:val="00ED513E"/>
    <w:rsid w:val="00ED665D"/>
    <w:rsid w:val="00F0539C"/>
    <w:rsid w:val="00F140F6"/>
    <w:rsid w:val="00F221D5"/>
    <w:rsid w:val="00F3160F"/>
    <w:rsid w:val="00F323CC"/>
    <w:rsid w:val="00F439CA"/>
    <w:rsid w:val="00F53DD4"/>
    <w:rsid w:val="00F63B75"/>
    <w:rsid w:val="00F773D5"/>
    <w:rsid w:val="00F84AFA"/>
    <w:rsid w:val="00F87010"/>
    <w:rsid w:val="00F96539"/>
    <w:rsid w:val="00F97E99"/>
    <w:rsid w:val="00FA28EC"/>
    <w:rsid w:val="00FA3EBE"/>
    <w:rsid w:val="00FA57A8"/>
    <w:rsid w:val="00FB3FDD"/>
    <w:rsid w:val="00FB4071"/>
    <w:rsid w:val="00FB55FF"/>
    <w:rsid w:val="00FB7DA4"/>
    <w:rsid w:val="00FC05A8"/>
    <w:rsid w:val="00FC5B4A"/>
    <w:rsid w:val="00FD155F"/>
    <w:rsid w:val="00FD65DA"/>
    <w:rsid w:val="00FE0539"/>
    <w:rsid w:val="00FE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8619"/>
  <w15:chartTrackingRefBased/>
  <w15:docId w15:val="{60DA40E4-21D2-46D0-A933-A86848B1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 w:qFormat="1"/>
    <w:lsdException w:name="List Number" w:semiHidden="1" w:uiPriority="1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4" w:unhideWhenUsed="1" w:qFormat="1"/>
    <w:lsdException w:name="List Bullet 3" w:semiHidden="1" w:uiPriority="24" w:unhideWhenUsed="1" w:qFormat="1"/>
    <w:lsdException w:name="List Bullet 4" w:semiHidden="1" w:uiPriority="24" w:unhideWhenUsed="1" w:qFormat="1"/>
    <w:lsdException w:name="List Bullet 5" w:semiHidden="1" w:uiPriority="24" w:unhideWhenUsed="1" w:qFormat="1"/>
    <w:lsdException w:name="List Number 2" w:semiHidden="1" w:uiPriority="24" w:unhideWhenUsed="1" w:qFormat="1"/>
    <w:lsdException w:name="List Number 3" w:semiHidden="1" w:uiPriority="24" w:unhideWhenUsed="1" w:qFormat="1"/>
    <w:lsdException w:name="List Number 4" w:semiHidden="1" w:uiPriority="24" w:unhideWhenUsed="1" w:qFormat="1"/>
    <w:lsdException w:name="List Number 5" w:semiHidden="1" w:uiPriority="24" w:unhideWhenUsed="1" w:qFormat="1"/>
    <w:lsdException w:name="Title" w:uiPriority="10" w:qFormat="1"/>
    <w:lsdException w:name="Closing" w:semiHidden="1" w:unhideWhenUsed="1"/>
    <w:lsdException w:name="Signature" w:semiHidden="1" w:uiPriority="36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9" w:qFormat="1"/>
    <w:lsdException w:name="Emphasis" w:uiPriority="7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B69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after="240"/>
      <w:outlineLvl w:val="1"/>
    </w:pPr>
    <w:rPr>
      <w:rFonts w:asciiTheme="majorHAnsi" w:eastAsiaTheme="majorEastAsia" w:hAnsiTheme="majorHAnsi" w:cstheme="majorBidi"/>
      <w:b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after="2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40"/>
    </w:pPr>
  </w:style>
  <w:style w:type="character" w:customStyle="1" w:styleId="BodyTextChar">
    <w:name w:val="Body Text Char"/>
    <w:basedOn w:val="DefaultParagraphFont"/>
    <w:link w:val="BodyText"/>
  </w:style>
  <w:style w:type="paragraph" w:customStyle="1" w:styleId="Block5">
    <w:name w:val="Block .5"/>
    <w:basedOn w:val="Normal"/>
    <w:uiPriority w:val="21"/>
    <w:qFormat/>
    <w:pPr>
      <w:spacing w:after="240"/>
      <w:ind w:left="720" w:right="720"/>
      <w:jc w:val="both"/>
    </w:pPr>
  </w:style>
  <w:style w:type="paragraph" w:customStyle="1" w:styleId="Block1">
    <w:name w:val="Block 1"/>
    <w:basedOn w:val="Normal"/>
    <w:uiPriority w:val="21"/>
    <w:qFormat/>
    <w:pPr>
      <w:spacing w:after="240"/>
      <w:ind w:left="1440" w:right="1440"/>
      <w:jc w:val="both"/>
    </w:pPr>
  </w:style>
  <w:style w:type="paragraph" w:customStyle="1" w:styleId="BodyFI5">
    <w:name w:val="Body FI .5"/>
    <w:basedOn w:val="BodyText"/>
    <w:uiPriority w:val="4"/>
    <w:qFormat/>
    <w:pPr>
      <w:ind w:firstLine="720"/>
    </w:pPr>
  </w:style>
  <w:style w:type="paragraph" w:customStyle="1" w:styleId="BodyInd5">
    <w:name w:val="Body Ind .5"/>
    <w:basedOn w:val="BodyText"/>
    <w:uiPriority w:val="24"/>
    <w:qFormat/>
    <w:pPr>
      <w:ind w:left="720"/>
    </w:pPr>
  </w:style>
  <w:style w:type="paragraph" w:customStyle="1" w:styleId="BodyInd1">
    <w:name w:val="Body Ind 1"/>
    <w:basedOn w:val="BodyText"/>
    <w:uiPriority w:val="24"/>
    <w:qFormat/>
    <w:pPr>
      <w:ind w:left="1440"/>
    </w:pPr>
  </w:style>
  <w:style w:type="character" w:customStyle="1" w:styleId="Underline">
    <w:name w:val="Underline"/>
    <w:basedOn w:val="DefaultParagraphFont"/>
    <w:uiPriority w:val="79"/>
    <w:qFormat/>
    <w:rPr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Pr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sz w:val="26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sz w:val="24"/>
      <w:szCs w:val="24"/>
    </w:rPr>
  </w:style>
  <w:style w:type="paragraph" w:styleId="ListBullet">
    <w:name w:val="List Bullet"/>
    <w:aliases w:val="LB1"/>
    <w:basedOn w:val="Normal"/>
    <w:uiPriority w:val="19"/>
    <w:qFormat/>
    <w:pPr>
      <w:numPr>
        <w:numId w:val="1"/>
      </w:numPr>
      <w:spacing w:after="240"/>
      <w:contextualSpacing/>
    </w:pPr>
  </w:style>
  <w:style w:type="paragraph" w:styleId="ListBullet2">
    <w:name w:val="List Bullet 2"/>
    <w:aliases w:val="LB2"/>
    <w:basedOn w:val="Normal"/>
    <w:uiPriority w:val="24"/>
    <w:qFormat/>
    <w:pPr>
      <w:numPr>
        <w:numId w:val="3"/>
      </w:numPr>
      <w:spacing w:after="240"/>
      <w:contextualSpacing/>
    </w:pPr>
  </w:style>
  <w:style w:type="paragraph" w:styleId="ListBullet3">
    <w:name w:val="List Bullet 3"/>
    <w:aliases w:val="LB3"/>
    <w:basedOn w:val="Normal"/>
    <w:uiPriority w:val="24"/>
    <w:qFormat/>
    <w:pPr>
      <w:numPr>
        <w:numId w:val="4"/>
      </w:numPr>
      <w:spacing w:after="240"/>
      <w:contextualSpacing/>
    </w:pPr>
  </w:style>
  <w:style w:type="paragraph" w:styleId="ListBullet4">
    <w:name w:val="List Bullet 4"/>
    <w:aliases w:val="LB4"/>
    <w:basedOn w:val="Normal"/>
    <w:uiPriority w:val="24"/>
    <w:qFormat/>
    <w:pPr>
      <w:numPr>
        <w:numId w:val="5"/>
      </w:numPr>
      <w:spacing w:after="240"/>
      <w:contextualSpacing/>
    </w:pPr>
  </w:style>
  <w:style w:type="paragraph" w:styleId="ListBullet5">
    <w:name w:val="List Bullet 5"/>
    <w:aliases w:val="LB5"/>
    <w:basedOn w:val="Normal"/>
    <w:uiPriority w:val="24"/>
    <w:qFormat/>
    <w:pPr>
      <w:numPr>
        <w:numId w:val="6"/>
      </w:numPr>
      <w:spacing w:after="240"/>
      <w:contextualSpacing/>
    </w:pPr>
  </w:style>
  <w:style w:type="paragraph" w:styleId="ListNumber">
    <w:name w:val="List Number"/>
    <w:aliases w:val="LN1"/>
    <w:basedOn w:val="Normal"/>
    <w:uiPriority w:val="19"/>
    <w:qFormat/>
    <w:pPr>
      <w:numPr>
        <w:numId w:val="2"/>
      </w:numPr>
      <w:spacing w:after="240"/>
      <w:contextualSpacing/>
    </w:pPr>
  </w:style>
  <w:style w:type="paragraph" w:styleId="ListNumber2">
    <w:name w:val="List Number 2"/>
    <w:aliases w:val="LN2"/>
    <w:basedOn w:val="Normal"/>
    <w:uiPriority w:val="24"/>
    <w:qFormat/>
    <w:pPr>
      <w:numPr>
        <w:numId w:val="7"/>
      </w:numPr>
      <w:spacing w:after="240"/>
      <w:contextualSpacing/>
    </w:pPr>
  </w:style>
  <w:style w:type="paragraph" w:styleId="ListNumber3">
    <w:name w:val="List Number 3"/>
    <w:aliases w:val="LN3"/>
    <w:basedOn w:val="Normal"/>
    <w:uiPriority w:val="24"/>
    <w:qFormat/>
    <w:pPr>
      <w:numPr>
        <w:numId w:val="8"/>
      </w:numPr>
      <w:spacing w:after="240"/>
      <w:contextualSpacing/>
    </w:pPr>
  </w:style>
  <w:style w:type="paragraph" w:styleId="ListNumber4">
    <w:name w:val="List Number 4"/>
    <w:aliases w:val="LN4"/>
    <w:basedOn w:val="Normal"/>
    <w:uiPriority w:val="24"/>
    <w:qFormat/>
    <w:pPr>
      <w:numPr>
        <w:numId w:val="9"/>
      </w:numPr>
      <w:spacing w:after="240"/>
      <w:contextualSpacing/>
    </w:pPr>
  </w:style>
  <w:style w:type="paragraph" w:styleId="ListNumber5">
    <w:name w:val="List Number 5"/>
    <w:aliases w:val="LN5"/>
    <w:basedOn w:val="Normal"/>
    <w:uiPriority w:val="24"/>
    <w:qFormat/>
    <w:pPr>
      <w:numPr>
        <w:numId w:val="10"/>
      </w:numPr>
      <w:spacing w:after="240"/>
      <w:contextualSpacing/>
    </w:pPr>
  </w:style>
  <w:style w:type="paragraph" w:customStyle="1" w:styleId="RightFlush">
    <w:name w:val="Right Flush"/>
    <w:basedOn w:val="Normal"/>
    <w:uiPriority w:val="34"/>
    <w:qFormat/>
    <w:pPr>
      <w:spacing w:after="240"/>
      <w:jc w:val="right"/>
    </w:pPr>
  </w:style>
  <w:style w:type="paragraph" w:styleId="Signature">
    <w:name w:val="Signature"/>
    <w:basedOn w:val="Normal"/>
    <w:link w:val="SignatureChar"/>
    <w:uiPriority w:val="36"/>
    <w:qFormat/>
    <w:pPr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36"/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/>
      <w:jc w:val="center"/>
      <w:outlineLvl w:val="1"/>
    </w:pPr>
    <w:rPr>
      <w:rFonts w:eastAsiaTheme="minorEastAsia"/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b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240"/>
      <w:contextualSpacing/>
      <w:jc w:val="center"/>
      <w:outlineLvl w:val="0"/>
    </w:pPr>
    <w:rPr>
      <w:rFonts w:asciiTheme="majorHAnsi" w:eastAsiaTheme="majorEastAsia" w:hAnsiTheme="majorHAnsi" w:cstheme="majorBidi"/>
      <w:b/>
      <w:caps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caps/>
      <w:spacing w:val="-10"/>
      <w:kern w:val="28"/>
      <w:sz w:val="32"/>
      <w:szCs w:val="56"/>
    </w:rPr>
  </w:style>
  <w:style w:type="paragraph" w:customStyle="1" w:styleId="Title2">
    <w:name w:val="Title 2"/>
    <w:basedOn w:val="Normal"/>
    <w:uiPriority w:val="20"/>
    <w:qFormat/>
    <w:pPr>
      <w:spacing w:after="240"/>
      <w:jc w:val="center"/>
      <w:outlineLvl w:val="0"/>
    </w:pPr>
    <w:rPr>
      <w:b/>
      <w:caps/>
      <w:sz w:val="28"/>
    </w:rPr>
  </w:style>
  <w:style w:type="paragraph" w:customStyle="1" w:styleId="TitleFirm">
    <w:name w:val="Title (Firm)"/>
    <w:basedOn w:val="Normal"/>
    <w:uiPriority w:val="29"/>
    <w:qFormat/>
    <w:pPr>
      <w:pBdr>
        <w:top w:val="single" w:sz="4" w:space="1" w:color="auto"/>
        <w:bottom w:val="single" w:sz="4" w:space="1" w:color="auto"/>
      </w:pBdr>
      <w:spacing w:before="120" w:after="120"/>
      <w:ind w:left="1440" w:right="1440"/>
      <w:jc w:val="center"/>
      <w:outlineLvl w:val="0"/>
    </w:pPr>
    <w:rPr>
      <w:rFonts w:asciiTheme="majorHAnsi" w:hAnsiTheme="majorHAnsi"/>
      <w:b/>
      <w:caps/>
      <w:sz w:val="28"/>
    </w:rPr>
  </w:style>
  <w:style w:type="paragraph" w:customStyle="1" w:styleId="BodyFI1">
    <w:name w:val="Body FI 1"/>
    <w:basedOn w:val="BodyText"/>
    <w:uiPriority w:val="20"/>
    <w:qFormat/>
    <w:pPr>
      <w:ind w:firstLine="1440"/>
    </w:pPr>
  </w:style>
  <w:style w:type="paragraph" w:styleId="ListParagraph">
    <w:name w:val="List Paragraph"/>
    <w:basedOn w:val="Normal"/>
    <w:link w:val="ListParagraphChar"/>
    <w:uiPriority w:val="34"/>
    <w:qFormat/>
    <w:rsid w:val="00AB5B6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AB5B69"/>
    <w:rPr>
      <w:lang w:val="ru-RU"/>
    </w:rPr>
  </w:style>
  <w:style w:type="paragraph" w:customStyle="1" w:styleId="FWSL5">
    <w:name w:val="FWS_L5"/>
    <w:basedOn w:val="Normal"/>
    <w:link w:val="FWSL50"/>
    <w:uiPriority w:val="99"/>
    <w:rsid w:val="00AB5B69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WSL50">
    <w:name w:val="FWS_L5 Знак"/>
    <w:basedOn w:val="DefaultParagraphFont"/>
    <w:link w:val="FWSL5"/>
    <w:uiPriority w:val="99"/>
    <w:rsid w:val="00AB5B69"/>
    <w:rPr>
      <w:rFonts w:ascii="Times New Roman" w:eastAsia="Times New Roman" w:hAnsi="Times New Roman" w:cs="Times New Roman"/>
      <w:sz w:val="24"/>
      <w:szCs w:val="20"/>
      <w:lang w:val="ru-RU"/>
    </w:rPr>
  </w:style>
  <w:style w:type="table" w:styleId="TableGrid">
    <w:name w:val="Table Grid"/>
    <w:basedOn w:val="TableNormal"/>
    <w:uiPriority w:val="39"/>
    <w:qFormat/>
    <w:rsid w:val="00AB5B69"/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C1"/>
    <w:rPr>
      <w:rFonts w:ascii="Segoe UI" w:hAnsi="Segoe UI" w:cs="Segoe UI"/>
      <w:sz w:val="18"/>
      <w:szCs w:val="18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9C4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8DE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8DE"/>
    <w:rPr>
      <w:b/>
      <w:bCs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C638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607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C6981-3877-4BE9-AC2D-B5105F5B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4188</Words>
  <Characters>23873</Characters>
  <Application>Microsoft Office Word</Application>
  <DocSecurity>0</DocSecurity>
  <Lines>198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Lukianchenko, Danila</dc:creator>
  <cp:keywords/>
  <dc:description/>
  <cp:lastModifiedBy>Technology Department</cp:lastModifiedBy>
  <cp:revision>4</cp:revision>
  <dcterms:created xsi:type="dcterms:W3CDTF">2020-12-03T16:05:00Z</dcterms:created>
  <dcterms:modified xsi:type="dcterms:W3CDTF">2020-12-07T13:18:00Z</dcterms:modified>
</cp:coreProperties>
</file>